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RESPONSIBLE USE OF AI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Responsible Use of AI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POL-AI-001</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Compliance Officer / 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 — Policies for information security</w:t>
            </w:r>
          </w:p>
          <w:p>
            <w:r>
              <w:rPr>
                <w:rFonts w:ascii="Arial" w:cs="Arial" w:eastAsia="Arial" w:hAnsi="Arial"/>
                <w:sz w:val="22"/>
                <w:szCs w:val="22"/>
              </w:rPr>
              <w:t xml:space="preserve">A.5.10 — Acceptable use of information and other associated assets</w:t>
            </w:r>
          </w:p>
          <w:p>
            <w:r>
              <w:rPr>
                <w:rFonts w:ascii="Arial" w:cs="Arial" w:eastAsia="Arial" w:hAnsi="Arial"/>
                <w:sz w:val="22"/>
                <w:szCs w:val="22"/>
              </w:rPr>
              <w:t xml:space="preserve">A.6.3 — Information security awareness, education and training</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Introduction</w:t>
      </w:r>
    </w:p>
    <w:p>
      <w:pPr>
        <w:spacing w:before="80" w:after="80"/>
      </w:pPr>
      <w:r>
        <w:rPr>
          <w:rFonts w:ascii="Arial" w:cs="Arial" w:eastAsia="Arial" w:hAnsi="Arial"/>
          <w:sz w:val="22"/>
          <w:szCs w:val="22"/>
        </w:rPr>
        <w:t xml:space="preserve">Artificial Intelligence (AI) technologies provide significant opportunities to improve productivity, decision-making, and service delivery. However, improper use of AI systems can introduce legal, ethical, operational, and security risks. This policy establishes the requirements and principles governing the responsible use of AI systems within the organisation, ensuring they are used in a manner that is lawful, ethical, transparent, secure, and aligned with the organisation's values and risk management framework.</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responsible and unacceptable uses of AI systems within the organisation, and describes clearly what employees and authorised users can and cannot do when engaging with AI services. It establishes clear rules to ensure AI technologies are used responsibly while protecting:</w:t>
      </w:r>
    </w:p>
    <w:p>
      <w:pPr>
        <w:pStyle w:val="ListParagraph"/>
        <w:numPr>
          <w:ilvl w:val="0"/>
          <w:numId w:val="2"/>
        </w:numPr>
        <w:spacing w:before="40" w:after="40"/>
      </w:pPr>
      <w:r>
        <w:rPr>
          <w:rFonts w:ascii="Arial" w:cs="Arial" w:eastAsia="Arial" w:hAnsi="Arial"/>
          <w:sz w:val="22"/>
          <w:szCs w:val="22"/>
        </w:rPr>
        <w:t xml:space="preserve">Individuals' rights and freedoms</w:t>
      </w:r>
    </w:p>
    <w:p>
      <w:pPr>
        <w:pStyle w:val="ListParagraph"/>
        <w:numPr>
          <w:ilvl w:val="0"/>
          <w:numId w:val="2"/>
        </w:numPr>
        <w:spacing w:before="40" w:after="40"/>
      </w:pPr>
      <w:r>
        <w:rPr>
          <w:rFonts w:ascii="Arial" w:cs="Arial" w:eastAsia="Arial" w:hAnsi="Arial"/>
          <w:sz w:val="22"/>
          <w:szCs w:val="22"/>
        </w:rPr>
        <w:t xml:space="preserve">Organisational data and intellectual property</w:t>
      </w:r>
    </w:p>
    <w:p>
      <w:pPr>
        <w:pStyle w:val="ListParagraph"/>
        <w:numPr>
          <w:ilvl w:val="0"/>
          <w:numId w:val="2"/>
        </w:numPr>
        <w:spacing w:before="40" w:after="40"/>
      </w:pPr>
      <w:r>
        <w:rPr>
          <w:rFonts w:ascii="Arial" w:cs="Arial" w:eastAsia="Arial" w:hAnsi="Arial"/>
          <w:sz w:val="22"/>
          <w:szCs w:val="22"/>
        </w:rPr>
        <w:t xml:space="preserve">Operational integrity and decision-making processes</w:t>
      </w:r>
    </w:p>
    <w:p>
      <w:pPr>
        <w:pStyle w:val="ListParagraph"/>
        <w:numPr>
          <w:ilvl w:val="0"/>
          <w:numId w:val="2"/>
        </w:numPr>
        <w:spacing w:before="40" w:after="40"/>
      </w:pPr>
      <w:r>
        <w:rPr>
          <w:rFonts w:ascii="Arial" w:cs="Arial" w:eastAsia="Arial" w:hAnsi="Arial"/>
          <w:sz w:val="22"/>
          <w:szCs w:val="22"/>
        </w:rPr>
        <w:t xml:space="preserve">Legal and regulatory compliance</w:t>
      </w:r>
    </w:p>
    <w:p>
      <w:pPr>
        <w:spacing w:before="60" w:after="60"/>
      </w:pPr>
      <w:r>
        <w:t xml:space="preserve"/>
      </w:r>
    </w:p>
    <w:p>
      <w:pPr>
        <w:spacing w:before="80" w:after="80"/>
      </w:pPr>
      <w:r>
        <w:rPr>
          <w:rFonts w:ascii="Arial" w:cs="Arial" w:eastAsia="Arial" w:hAnsi="Arial"/>
          <w:sz w:val="22"/>
          <w:szCs w:val="22"/>
        </w:rPr>
        <w:t xml:space="preserve">This policy must be read in conjunction with the following related AI policies:</w:t>
      </w:r>
    </w:p>
    <w:p>
      <w:pPr>
        <w:pStyle w:val="ListParagraph"/>
        <w:numPr>
          <w:ilvl w:val="0"/>
          <w:numId w:val="2"/>
        </w:numPr>
        <w:spacing w:before="40" w:after="40"/>
      </w:pPr>
      <w:r>
        <w:rPr>
          <w:rFonts w:ascii="Arial" w:cs="Arial" w:eastAsia="Arial" w:hAnsi="Arial"/>
          <w:sz w:val="22"/>
          <w:szCs w:val="22"/>
        </w:rPr>
        <w:t xml:space="preserve">AI Governance Policy (POL-AI-002)</w:t>
      </w:r>
    </w:p>
    <w:p>
      <w:pPr>
        <w:pStyle w:val="ListParagraph"/>
        <w:numPr>
          <w:ilvl w:val="0"/>
          <w:numId w:val="2"/>
        </w:numPr>
        <w:spacing w:before="40" w:after="40"/>
      </w:pPr>
      <w:r>
        <w:rPr>
          <w:rFonts w:ascii="Arial" w:cs="Arial" w:eastAsia="Arial" w:hAnsi="Arial"/>
          <w:sz w:val="22"/>
          <w:szCs w:val="22"/>
        </w:rPr>
        <w:t xml:space="preserve">AI Data Governance Policy (POL-AI-003)</w:t>
      </w:r>
    </w:p>
    <w:p>
      <w:pPr>
        <w:pStyle w:val="ListParagraph"/>
        <w:numPr>
          <w:ilvl w:val="0"/>
          <w:numId w:val="2"/>
        </w:numPr>
        <w:spacing w:before="40" w:after="40"/>
      </w:pPr>
      <w:r>
        <w:rPr>
          <w:rFonts w:ascii="Arial" w:cs="Arial" w:eastAsia="Arial" w:hAnsi="Arial"/>
          <w:sz w:val="22"/>
          <w:szCs w:val="22"/>
        </w:rPr>
        <w:t xml:space="preserve">AI Audit Logging and Performance Monitoring Policy (POL-AI-004)</w:t>
      </w:r>
    </w:p>
    <w:p>
      <w:pPr>
        <w:spacing w:before="60" w:after="60"/>
      </w:pPr>
      <w:r>
        <w:t xml:space="preserve"/>
      </w:r>
    </w:p>
    <w:p>
      <w:pPr>
        <w:spacing w:before="80" w:after="80"/>
      </w:pPr>
      <w:r>
        <w:rPr>
          <w:rFonts w:ascii="Arial" w:cs="Arial" w:eastAsia="Arial" w:hAnsi="Arial"/>
          <w:sz w:val="22"/>
          <w:szCs w:val="22"/>
        </w:rPr>
        <w:t xml:space="preserve">This policy also complements the following employment, conduct, and security policies:</w:t>
      </w:r>
    </w:p>
    <w:p>
      <w:pPr>
        <w:pStyle w:val="ListParagraph"/>
        <w:numPr>
          <w:ilvl w:val="0"/>
          <w:numId w:val="2"/>
        </w:numPr>
        <w:spacing w:before="40" w:after="40"/>
      </w:pPr>
      <w:r>
        <w:rPr>
          <w:rFonts w:ascii="Arial" w:cs="Arial" w:eastAsia="Arial" w:hAnsi="Arial"/>
          <w:sz w:val="22"/>
          <w:szCs w:val="22"/>
        </w:rPr>
        <w:t xml:space="preserve">Acceptable Use Policy (POL-GEN-001)</w:t>
      </w:r>
    </w:p>
    <w:p>
      <w:pPr>
        <w:pStyle w:val="ListParagraph"/>
        <w:numPr>
          <w:ilvl w:val="0"/>
          <w:numId w:val="2"/>
        </w:numPr>
        <w:spacing w:before="40" w:after="40"/>
      </w:pPr>
      <w:r>
        <w:rPr>
          <w:rFonts w:ascii="Arial" w:cs="Arial" w:eastAsia="Arial" w:hAnsi="Arial"/>
          <w:sz w:val="22"/>
          <w:szCs w:val="22"/>
        </w:rPr>
        <w:t xml:space="preserve">Privacy Policy (POL-GEN-002)</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Credential Management Policy (POL-SEC-005)</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Mobile Device and Remote Working Policy</w:t>
      </w:r>
    </w:p>
    <w:p>
      <w:pPr>
        <w:pStyle w:val="ListParagraph"/>
        <w:numPr>
          <w:ilvl w:val="0"/>
          <w:numId w:val="2"/>
        </w:numPr>
        <w:spacing w:before="40" w:after="40"/>
      </w:pPr>
      <w:r>
        <w:rPr>
          <w:rFonts w:ascii="Arial" w:cs="Arial" w:eastAsia="Arial" w:hAnsi="Arial"/>
          <w:sz w:val="22"/>
          <w:szCs w:val="22"/>
        </w:rPr>
        <w:t xml:space="preserve">Secure System Design Standard (POL-SEC-010)</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individuals who interact with AI systems on behalf of the organisation, including employees, contractors, consultants, temporary staff, third-party service providers, and partners with authorised access. It applies to all AI systems owned, developed, licensed, or procured by the organisation, integrated into its platforms, or accessed through third-party services for business purposes — across all phases of AI usage from experimentation through to decommissioning.</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Artificial Intelligence (AI)</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machine-based system capable of generating outputs such as predictions, recommendations, content, or decisions based on input data.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AI System</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Any software system, service, or model incorporating AI techniques such as machine learning, natural language processing, computer vision, or automated decision-making.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Agentic AI</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 AI system that operates with a degree of autonomy to complete multi-step tasks, make intermediate decisions, or take actions within a defined scope without requiring human input at every step.</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Automated Decision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decision made wholly or substantially by an AI system with minimal or no human review of the individual outcome before it takes effect.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User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individual authorised to access or interact with AI systems within the organisation.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AI System Owner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individual responsible for the governance, monitoring, and lifecycle management of a specific AI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Authorised AI System</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 AI system formally approved through the organisation's governance and risk assessment process and recorded in the AI System Register.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AI System Register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central register recording all approved AI systems, their owners, data classifications, risk ratings, and approval status.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Responsible Use of AI Principles</w:t>
      </w:r>
    </w:p>
    <w:p>
      <w:pPr>
        <w:pStyle w:val="Heading2"/>
        <w:spacing w:before="180" w:after="80"/>
      </w:pPr>
      <w:r>
        <w:rPr>
          <w:rFonts w:ascii="Arial" w:cs="Arial" w:eastAsia="Arial" w:hAnsi="Arial"/>
          <w:b/>
          <w:bCs/>
          <w:color w:val="2E5496"/>
          <w:sz w:val="26"/>
          <w:szCs w:val="26"/>
        </w:rPr>
        <w:t xml:space="preserve">5.1  Lawful and Ethical Use</w:t>
      </w:r>
    </w:p>
    <w:p>
      <w:pPr>
        <w:pStyle w:val="Heading3"/>
        <w:spacing w:before="140" w:after="60"/>
      </w:pPr>
      <w:r>
        <w:rPr>
          <w:rFonts w:ascii="Arial" w:cs="Arial" w:eastAsia="Arial" w:hAnsi="Arial"/>
          <w:b/>
          <w:bCs/>
          <w:color w:val="404040"/>
          <w:sz w:val="24"/>
          <w:szCs w:val="24"/>
        </w:rPr>
        <w:t xml:space="preserve">5.1.1  Legitimate Business Use</w:t>
      </w:r>
    </w:p>
    <w:p>
      <w:pPr>
        <w:spacing w:before="80" w:after="80"/>
      </w:pPr>
      <w:r>
        <w:rPr>
          <w:rFonts w:ascii="Arial" w:cs="Arial" w:eastAsia="Arial" w:hAnsi="Arial"/>
          <w:sz w:val="22"/>
          <w:szCs w:val="22"/>
        </w:rPr>
        <w:t xml:space="preserve">AI systems must only be used for legitimate business purposes that align with the organisation's values, mission, and legal obligations.</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5.1.2  Ethical Use in Technology and Service Delivery</w:t>
      </w:r>
    </w:p>
    <w:p>
      <w:pPr>
        <w:spacing w:before="80" w:after="80"/>
      </w:pPr>
      <w:r>
        <w:rPr>
          <w:rFonts w:ascii="Arial" w:cs="Arial" w:eastAsia="Arial" w:hAnsi="Arial"/>
          <w:sz w:val="22"/>
          <w:szCs w:val="22"/>
        </w:rPr>
        <w:t xml:space="preserve">As an organisation with privileged access to client environments, infrastructure, and data, the organisation has heightened ethical obligations governing how AI is used in technology service delivery. The following principles apply:</w:t>
      </w:r>
    </w:p>
    <w:p>
      <w:pPr>
        <w:spacing w:before="80" w:after="80"/>
      </w:pPr>
      <w:r>
        <w:rPr>
          <w:rFonts w:ascii="Arial" w:cs="Arial" w:eastAsia="Arial" w:hAnsi="Arial"/>
          <w:b/>
          <w:bCs/>
          <w:sz w:val="22"/>
          <w:szCs w:val="22"/>
        </w:rPr>
        <w:t xml:space="preserve">(a) Client Trust and Confidentiality: </w:t>
      </w:r>
      <w:r>
        <w:rPr>
          <w:rFonts w:ascii="Arial" w:cs="Arial" w:eastAsia="Arial" w:hAnsi="Arial"/>
          <w:sz w:val="22"/>
          <w:szCs w:val="22"/>
        </w:rPr>
        <w:t xml:space="preserve">AI must never be used in ways that breach client trust. Client data, system configurations, architecture details, credentials, and information obtained through managed service access must not be entered into any AI system without explicit client consent and documented authorisation.</w:t>
      </w:r>
    </w:p>
    <w:p>
      <w:pPr>
        <w:spacing w:before="80" w:after="80"/>
      </w:pPr>
      <w:r>
        <w:rPr>
          <w:rFonts w:ascii="Arial" w:cs="Arial" w:eastAsia="Arial" w:hAnsi="Arial"/>
          <w:b/>
          <w:bCs/>
          <w:sz w:val="22"/>
          <w:szCs w:val="22"/>
        </w:rPr>
        <w:t xml:space="preserve">(b) Transparency in AI-Assisted Service Delivery: </w:t>
      </w:r>
      <w:r>
        <w:rPr>
          <w:rFonts w:ascii="Arial" w:cs="Arial" w:eastAsia="Arial" w:hAnsi="Arial"/>
          <w:sz w:val="22"/>
          <w:szCs w:val="22"/>
        </w:rPr>
        <w:t xml:space="preserve">Where AI tools are used to deliver services to clients, clients must be informed that AI is involved in a material way. AI-assisted outputs must not be misrepresented as the product of purely human technical analysis.</w:t>
      </w:r>
    </w:p>
    <w:p>
      <w:pPr>
        <w:spacing w:before="80" w:after="80"/>
      </w:pPr>
      <w:r>
        <w:rPr>
          <w:rFonts w:ascii="Arial" w:cs="Arial" w:eastAsia="Arial" w:hAnsi="Arial"/>
          <w:b/>
          <w:bCs/>
          <w:sz w:val="22"/>
          <w:szCs w:val="22"/>
        </w:rPr>
        <w:t xml:space="preserve">(c) Responsible Use of Privileged Access: </w:t>
      </w:r>
      <w:r>
        <w:rPr>
          <w:rFonts w:ascii="Arial" w:cs="Arial" w:eastAsia="Arial" w:hAnsi="Arial"/>
          <w:sz w:val="22"/>
          <w:szCs w:val="22"/>
        </w:rPr>
        <w:t xml:space="preserve">AI tools must never be used to exploit, extend, or abuse privileged access to client systems, networks, or data. AI-assisted activity within client environments must remain within the defined scope of the relevant service agreement.</w:t>
      </w:r>
    </w:p>
    <w:p>
      <w:pPr>
        <w:spacing w:before="80" w:after="80"/>
      </w:pPr>
      <w:r>
        <w:rPr>
          <w:rFonts w:ascii="Arial" w:cs="Arial" w:eastAsia="Arial" w:hAnsi="Arial"/>
          <w:b/>
          <w:bCs/>
          <w:sz w:val="22"/>
          <w:szCs w:val="22"/>
        </w:rPr>
        <w:t xml:space="preserve">(d) Human Oversight for AI-Driven Changes to Client Environments: </w:t>
      </w:r>
      <w:r>
        <w:rPr>
          <w:rFonts w:ascii="Arial" w:cs="Arial" w:eastAsia="Arial" w:hAnsi="Arial"/>
          <w:sz w:val="22"/>
          <w:szCs w:val="22"/>
        </w:rPr>
        <w:t xml:space="preserve">No AI-generated recommendation, script, configuration change, or automated action that would materially affect a client's environment, security posture, or service continuity may be executed without human review and authorisation.</w:t>
      </w:r>
    </w:p>
    <w:p>
      <w:pPr>
        <w:spacing w:before="80" w:after="80"/>
      </w:pPr>
      <w:r>
        <w:rPr>
          <w:rFonts w:ascii="Arial" w:cs="Arial" w:eastAsia="Arial" w:hAnsi="Arial"/>
          <w:b/>
          <w:bCs/>
          <w:sz w:val="22"/>
          <w:szCs w:val="22"/>
        </w:rPr>
        <w:t xml:space="preserve">(e) Unbiased Technical Recommendations: </w:t>
      </w:r>
      <w:r>
        <w:rPr>
          <w:rFonts w:ascii="Arial" w:cs="Arial" w:eastAsia="Arial" w:hAnsi="Arial"/>
          <w:sz w:val="22"/>
          <w:szCs w:val="22"/>
        </w:rPr>
        <w:t xml:space="preserve">AI must not be used to generate or reinforce technology recommendations to clients that are influenced by vendor relationships, commercial incentives, or conflicts of interest.</w:t>
      </w:r>
    </w:p>
    <w:p>
      <w:pPr>
        <w:spacing w:before="80" w:after="80"/>
      </w:pPr>
      <w:r>
        <w:rPr>
          <w:rFonts w:ascii="Arial" w:cs="Arial" w:eastAsia="Arial" w:hAnsi="Arial"/>
          <w:b/>
          <w:bCs/>
          <w:sz w:val="22"/>
          <w:szCs w:val="22"/>
        </w:rPr>
        <w:t xml:space="preserve">(f) Accuracy and Reliability in Technical Outputs: </w:t>
      </w:r>
      <w:r>
        <w:rPr>
          <w:rFonts w:ascii="Arial" w:cs="Arial" w:eastAsia="Arial" w:hAnsi="Arial"/>
          <w:sz w:val="22"/>
          <w:szCs w:val="22"/>
        </w:rPr>
        <w:t xml:space="preserve">AI-generated technical content — including scripts, configurations, security assessments, incident reports, and documentation — must be reviewed and validated by a qualified engineer before delivery to clients or application in a technical environment.</w:t>
      </w:r>
    </w:p>
    <w:p>
      <w:pPr>
        <w:spacing w:before="80" w:after="80"/>
      </w:pPr>
      <w:r>
        <w:rPr>
          <w:rFonts w:ascii="Arial" w:cs="Arial" w:eastAsia="Arial" w:hAnsi="Arial"/>
          <w:b/>
          <w:bCs/>
          <w:sz w:val="22"/>
          <w:szCs w:val="22"/>
        </w:rPr>
        <w:t xml:space="preserve">(g) Security Operations Ethics: </w:t>
      </w:r>
      <w:r>
        <w:rPr>
          <w:rFonts w:ascii="Arial" w:cs="Arial" w:eastAsia="Arial" w:hAnsi="Arial"/>
          <w:sz w:val="22"/>
          <w:szCs w:val="22"/>
        </w:rPr>
        <w:t xml:space="preserve">Where AI is used in security operations, outputs must be treated as one input into a human-led process. AI-generated security alerts, risk ratings, or threat intelligence must be reviewed by a qualified security professional before being acted upon. AI must not be used to generate or automate offensive security actions without explicit written authorisation.</w:t>
      </w:r>
    </w:p>
    <w:p>
      <w:pPr>
        <w:spacing w:before="60" w:after="60"/>
      </w:pPr>
      <w:r>
        <w:t xml:space="preserve"/>
      </w:r>
    </w:p>
    <w:p>
      <w:pPr>
        <w:spacing w:before="80" w:after="80"/>
      </w:pPr>
      <w:r>
        <w:rPr>
          <w:rFonts w:ascii="Arial" w:cs="Arial" w:eastAsia="Arial" w:hAnsi="Arial"/>
          <w:sz w:val="22"/>
          <w:szCs w:val="22"/>
        </w:rPr>
        <w:t xml:space="preserve">5.1.3  AI systems must not be used in ways that cause harm, unfair treatment, or reputational damage to clients, employees, or the organisation.</w:t>
      </w:r>
    </w:p>
    <w:p>
      <w:pPr>
        <w:spacing w:before="60" w:after="60"/>
      </w:pPr>
      <w:r>
        <w:t xml:space="preserve"/>
      </w:r>
    </w:p>
    <w:p>
      <w:pPr>
        <w:spacing w:before="80" w:after="80"/>
      </w:pPr>
      <w:r>
        <w:rPr>
          <w:rFonts w:ascii="Arial" w:cs="Arial" w:eastAsia="Arial" w:hAnsi="Arial"/>
          <w:sz w:val="22"/>
          <w:szCs w:val="22"/>
        </w:rPr>
        <w:t xml:space="preserve">5.1.4  AI systems must comply with all applicable laws and regulations, including:</w:t>
      </w:r>
    </w:p>
    <w:p>
      <w:pPr>
        <w:pStyle w:val="ListParagraph"/>
        <w:numPr>
          <w:ilvl w:val="0"/>
          <w:numId w:val="2"/>
        </w:numPr>
        <w:spacing w:before="40" w:after="40"/>
      </w:pPr>
      <w:r>
        <w:rPr>
          <w:rFonts w:ascii="Arial" w:cs="Arial" w:eastAsia="Arial" w:hAnsi="Arial"/>
          <w:sz w:val="22"/>
          <w:szCs w:val="22"/>
        </w:rPr>
        <w:t xml:space="preserve">Privacy Act 1988 (Cth) and Australian Privacy Principles (APPs)</w:t>
      </w:r>
    </w:p>
    <w:p>
      <w:pPr>
        <w:pStyle w:val="ListParagraph"/>
        <w:numPr>
          <w:ilvl w:val="0"/>
          <w:numId w:val="2"/>
        </w:numPr>
        <w:spacing w:before="40" w:after="40"/>
      </w:pPr>
      <w:r>
        <w:rPr>
          <w:rFonts w:ascii="Arial" w:cs="Arial" w:eastAsia="Arial" w:hAnsi="Arial"/>
          <w:sz w:val="22"/>
          <w:szCs w:val="22"/>
        </w:rPr>
        <w:t xml:space="preserve">Privacy and Personal Information Protection Act 1998 (NSW)</w:t>
      </w:r>
    </w:p>
    <w:p>
      <w:pPr>
        <w:pStyle w:val="ListParagraph"/>
        <w:numPr>
          <w:ilvl w:val="0"/>
          <w:numId w:val="2"/>
        </w:numPr>
        <w:spacing w:before="40" w:after="40"/>
      </w:pPr>
      <w:r>
        <w:rPr>
          <w:rFonts w:ascii="Arial" w:cs="Arial" w:eastAsia="Arial" w:hAnsi="Arial"/>
          <w:sz w:val="22"/>
          <w:szCs w:val="22"/>
        </w:rPr>
        <w:t xml:space="preserve">New Zealand Privacy Act 2020</w:t>
      </w:r>
    </w:p>
    <w:p>
      <w:pPr>
        <w:pStyle w:val="ListParagraph"/>
        <w:numPr>
          <w:ilvl w:val="0"/>
          <w:numId w:val="2"/>
        </w:numPr>
        <w:spacing w:before="40" w:after="40"/>
      </w:pPr>
      <w:r>
        <w:rPr>
          <w:rFonts w:ascii="Arial" w:cs="Arial" w:eastAsia="Arial" w:hAnsi="Arial"/>
          <w:sz w:val="22"/>
          <w:szCs w:val="22"/>
        </w:rPr>
        <w:t xml:space="preserve">Corporations Act 2001 (Cth)</w:t>
      </w:r>
    </w:p>
    <w:p>
      <w:pPr>
        <w:pStyle w:val="ListParagraph"/>
        <w:numPr>
          <w:ilvl w:val="0"/>
          <w:numId w:val="2"/>
        </w:numPr>
        <w:spacing w:before="40" w:after="40"/>
      </w:pPr>
      <w:r>
        <w:rPr>
          <w:rFonts w:ascii="Arial" w:cs="Arial" w:eastAsia="Arial" w:hAnsi="Arial"/>
          <w:sz w:val="22"/>
          <w:szCs w:val="22"/>
        </w:rPr>
        <w:t xml:space="preserve">Fair Work Act 2009 (Cth)</w:t>
      </w:r>
    </w:p>
    <w:p>
      <w:pPr>
        <w:pStyle w:val="ListParagraph"/>
        <w:numPr>
          <w:ilvl w:val="0"/>
          <w:numId w:val="2"/>
        </w:numPr>
        <w:spacing w:before="40" w:after="40"/>
      </w:pPr>
      <w:r>
        <w:rPr>
          <w:rFonts w:ascii="Arial" w:cs="Arial" w:eastAsia="Arial" w:hAnsi="Arial"/>
          <w:sz w:val="22"/>
          <w:szCs w:val="22"/>
        </w:rPr>
        <w:t xml:space="preserve">Cybercrime Act 2001 (Cth)</w:t>
      </w:r>
    </w:p>
    <w:p>
      <w:pPr>
        <w:pStyle w:val="ListParagraph"/>
        <w:numPr>
          <w:ilvl w:val="0"/>
          <w:numId w:val="2"/>
        </w:numPr>
        <w:spacing w:before="40" w:after="40"/>
      </w:pPr>
      <w:r>
        <w:rPr>
          <w:rFonts w:ascii="Arial" w:cs="Arial" w:eastAsia="Arial" w:hAnsi="Arial"/>
          <w:sz w:val="22"/>
          <w:szCs w:val="22"/>
        </w:rPr>
        <w:t xml:space="preserve">Electronic Transactions Act 1999 (Cth)</w:t>
      </w:r>
    </w:p>
    <w:p>
      <w:pPr>
        <w:pStyle w:val="ListParagraph"/>
        <w:numPr>
          <w:ilvl w:val="0"/>
          <w:numId w:val="2"/>
        </w:numPr>
        <w:spacing w:before="40" w:after="40"/>
      </w:pPr>
      <w:r>
        <w:rPr>
          <w:rFonts w:ascii="Arial" w:cs="Arial" w:eastAsia="Arial" w:hAnsi="Arial"/>
          <w:sz w:val="22"/>
          <w:szCs w:val="22"/>
        </w:rPr>
        <w:t xml:space="preserve">Spam Act 2003 (Cth)</w:t>
      </w:r>
    </w:p>
    <w:p>
      <w:pPr>
        <w:pStyle w:val="ListParagraph"/>
        <w:numPr>
          <w:ilvl w:val="0"/>
          <w:numId w:val="2"/>
        </w:numPr>
        <w:spacing w:before="40" w:after="40"/>
      </w:pPr>
      <w:r>
        <w:rPr>
          <w:rFonts w:ascii="Arial" w:cs="Arial" w:eastAsia="Arial" w:hAnsi="Arial"/>
          <w:sz w:val="22"/>
          <w:szCs w:val="22"/>
        </w:rPr>
        <w:t xml:space="preserve">Privacy and Data Protection Act 2014 (Vic)</w:t>
      </w:r>
    </w:p>
    <w:p>
      <w:pPr>
        <w:pStyle w:val="ListParagraph"/>
        <w:numPr>
          <w:ilvl w:val="0"/>
          <w:numId w:val="2"/>
        </w:numPr>
        <w:spacing w:before="40" w:after="40"/>
      </w:pPr>
      <w:r>
        <w:rPr>
          <w:rFonts w:ascii="Arial" w:cs="Arial" w:eastAsia="Arial" w:hAnsi="Arial"/>
          <w:sz w:val="22"/>
          <w:szCs w:val="22"/>
        </w:rPr>
        <w:t xml:space="preserve">Criminal Code Act 1995 (Cth)</w:t>
      </w:r>
    </w:p>
    <w:p>
      <w:pPr>
        <w:pStyle w:val="ListParagraph"/>
        <w:numPr>
          <w:ilvl w:val="0"/>
          <w:numId w:val="2"/>
        </w:numPr>
        <w:spacing w:before="40" w:after="40"/>
      </w:pPr>
      <w:r>
        <w:rPr>
          <w:rFonts w:ascii="Arial" w:cs="Arial" w:eastAsia="Arial" w:hAnsi="Arial"/>
          <w:sz w:val="22"/>
          <w:szCs w:val="22"/>
        </w:rPr>
        <w:t xml:space="preserve">Anti-Money Laundering and Counter-Terrorism Financing Act 2006 (Cth)</w:t>
      </w:r>
    </w:p>
    <w:p>
      <w:pPr>
        <w:pStyle w:val="ListParagraph"/>
        <w:numPr>
          <w:ilvl w:val="0"/>
          <w:numId w:val="2"/>
        </w:numPr>
        <w:spacing w:before="40" w:after="40"/>
      </w:pPr>
      <w:r>
        <w:rPr>
          <w:rFonts w:ascii="Arial" w:cs="Arial" w:eastAsia="Arial" w:hAnsi="Arial"/>
          <w:sz w:val="22"/>
          <w:szCs w:val="22"/>
        </w:rPr>
        <w:t xml:space="preserve">Cyber Security Act 2024 (Cth)</w:t>
      </w:r>
    </w:p>
    <w:p>
      <w:pPr>
        <w:pStyle w:val="ListParagraph"/>
        <w:numPr>
          <w:ilvl w:val="0"/>
          <w:numId w:val="2"/>
        </w:numPr>
        <w:spacing w:before="40" w:after="40"/>
      </w:pPr>
      <w:r>
        <w:rPr>
          <w:rFonts w:ascii="Arial" w:cs="Arial" w:eastAsia="Arial" w:hAnsi="Arial"/>
          <w:sz w:val="22"/>
          <w:szCs w:val="22"/>
        </w:rPr>
        <w:t xml:space="preserve">Australian Consumer Law</w:t>
      </w:r>
    </w:p>
    <w:p>
      <w:pPr>
        <w:pStyle w:val="ListParagraph"/>
        <w:numPr>
          <w:ilvl w:val="0"/>
          <w:numId w:val="2"/>
        </w:numPr>
        <w:spacing w:before="40" w:after="40"/>
      </w:pPr>
      <w:r>
        <w:rPr>
          <w:rFonts w:ascii="Arial" w:cs="Arial" w:eastAsia="Arial" w:hAnsi="Arial"/>
          <w:sz w:val="22"/>
          <w:szCs w:val="22"/>
        </w:rPr>
        <w:t xml:space="preserve">Anti-discrimination legislation (Commonwealth and applicable State/Territory)</w:t>
      </w:r>
    </w:p>
    <w:p>
      <w:pPr>
        <w:spacing w:before="60" w:after="60"/>
      </w:pPr>
      <w:r>
        <w:t xml:space="preserve"/>
      </w:r>
    </w:p>
    <w:p>
      <w:pPr>
        <w:spacing w:before="80" w:after="80"/>
      </w:pPr>
      <w:r>
        <w:rPr>
          <w:rFonts w:ascii="Arial" w:cs="Arial" w:eastAsia="Arial" w:hAnsi="Arial"/>
          <w:sz w:val="22"/>
          <w:szCs w:val="22"/>
        </w:rPr>
        <w:t xml:space="preserve">5.1.5  Only organisation-approved AI tools may be used for business purposes involving organisational data. Use of unapproved AI tools on organisational data, client data, or any information subject to confidentiality obligations is prohibited.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Authorised AI Systems Only</w:t>
      </w:r>
    </w:p>
    <w:p>
      <w:pPr>
        <w:spacing w:before="80" w:after="80"/>
      </w:pPr>
      <w:r>
        <w:rPr>
          <w:rFonts w:ascii="Arial" w:cs="Arial" w:eastAsia="Arial" w:hAnsi="Arial"/>
          <w:sz w:val="22"/>
          <w:szCs w:val="22"/>
        </w:rPr>
        <w:t xml:space="preserve">5.2.1  Only AI systems formally approved through the organisation's governance and risk assessment process may be used for business purposes.</w:t>
      </w:r>
    </w:p>
    <w:p>
      <w:pPr>
        <w:spacing w:before="80" w:after="80"/>
      </w:pPr>
      <w:r>
        <w:rPr>
          <w:rFonts w:ascii="Arial" w:cs="Arial" w:eastAsia="Arial" w:hAnsi="Arial"/>
          <w:sz w:val="22"/>
          <w:szCs w:val="22"/>
        </w:rPr>
        <w:t xml:space="preserve">5.2.2  All approved AI systems must be recorded in the AI System Register, maintained on the organisation's intranet. This register is the single authoritative source for determining which AI services may be used and under what conditions.</w:t>
      </w:r>
    </w:p>
    <w:p>
      <w:pPr>
        <w:spacing w:before="80" w:after="80"/>
      </w:pPr>
      <w:r>
        <w:rPr>
          <w:rFonts w:ascii="Arial" w:cs="Arial" w:eastAsia="Arial" w:hAnsi="Arial"/>
          <w:sz w:val="22"/>
          <w:szCs w:val="22"/>
        </w:rPr>
        <w:t xml:space="preserve">5.2.3  Users must not deploy, access, or integrate unapproved AI tools into organisational systems or workflows.</w:t>
      </w:r>
    </w:p>
    <w:p>
      <w:pPr>
        <w:spacing w:before="80" w:after="80"/>
      </w:pPr>
      <w:r>
        <w:rPr>
          <w:rFonts w:ascii="Arial" w:cs="Arial" w:eastAsia="Arial" w:hAnsi="Arial"/>
          <w:sz w:val="22"/>
          <w:szCs w:val="22"/>
        </w:rPr>
        <w:t xml:space="preserve">5.2.4  Public or consumer-grade AI tools must not be used for organisational work unless explicitly authorised and recorded in the AI System Register.</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5.2.5  Requesting Access to a New AI Service</w:t>
      </w:r>
    </w:p>
    <w:p>
      <w:pPr>
        <w:spacing w:before="80" w:after="80"/>
      </w:pPr>
      <w:r>
        <w:rPr>
          <w:rFonts w:ascii="Arial" w:cs="Arial" w:eastAsia="Arial" w:hAnsi="Arial"/>
          <w:sz w:val="22"/>
          <w:szCs w:val="22"/>
        </w:rPr>
        <w:t xml:space="preserve">If you have a legitimate business need to use an AI service not currently on the AI System Register, you must follow the process below. You must not use the service until approval has been granted:</w:t>
      </w:r>
    </w:p>
    <w:p>
      <w:pPr>
        <w:spacing w:before="80" w:after="80"/>
      </w:pPr>
      <w:r>
        <w:rPr>
          <w:rFonts w:ascii="Arial" w:cs="Arial" w:eastAsia="Arial" w:hAnsi="Arial"/>
          <w:b/>
          <w:bCs/>
          <w:sz w:val="22"/>
          <w:szCs w:val="22"/>
        </w:rPr>
        <w:t xml:space="preserve">Step 1 — Prepare your request: </w:t>
      </w:r>
      <w:r>
        <w:rPr>
          <w:rFonts w:ascii="Arial" w:cs="Arial" w:eastAsia="Arial" w:hAnsi="Arial"/>
          <w:sz w:val="22"/>
          <w:szCs w:val="22"/>
        </w:rPr>
        <w:t xml:space="preserve">Complete the Request for New AI Service form, including business justification, intended use, data involved, and why an existing approved tool cannot meet the need.</w:t>
      </w:r>
    </w:p>
    <w:p>
      <w:pPr>
        <w:spacing w:before="80" w:after="80"/>
      </w:pPr>
      <w:r>
        <w:rPr>
          <w:rFonts w:ascii="Arial" w:cs="Arial" w:eastAsia="Arial" w:hAnsi="Arial"/>
          <w:b/>
          <w:bCs/>
          <w:sz w:val="22"/>
          <w:szCs w:val="22"/>
        </w:rPr>
        <w:t xml:space="preserve">Step 2 — Get manager endorsement: </w:t>
      </w:r>
      <w:r>
        <w:rPr>
          <w:rFonts w:ascii="Arial" w:cs="Arial" w:eastAsia="Arial" w:hAnsi="Arial"/>
          <w:sz w:val="22"/>
          <w:szCs w:val="22"/>
        </w:rPr>
        <w:t xml:space="preserve">Your completed request must be endorsed by your direct manager before submission.</w:t>
      </w:r>
    </w:p>
    <w:p>
      <w:pPr>
        <w:spacing w:before="80" w:after="80"/>
      </w:pPr>
      <w:r>
        <w:rPr>
          <w:rFonts w:ascii="Arial" w:cs="Arial" w:eastAsia="Arial" w:hAnsi="Arial"/>
          <w:b/>
          <w:bCs/>
          <w:sz w:val="22"/>
          <w:szCs w:val="22"/>
        </w:rPr>
        <w:t xml:space="preserve">Step 3 — Submit for assessment: </w:t>
      </w:r>
      <w:r>
        <w:rPr>
          <w:rFonts w:ascii="Arial" w:cs="Arial" w:eastAsia="Arial" w:hAnsi="Arial"/>
          <w:sz w:val="22"/>
          <w:szCs w:val="22"/>
        </w:rPr>
        <w:t xml:space="preserve">Submit the endorsed form to the Technology Governance Council for assessment against the AI Governance Policy criteria, including security, privacy, contractual obligations, and risk appetite.</w:t>
      </w:r>
    </w:p>
    <w:p>
      <w:pPr>
        <w:spacing w:before="80" w:after="80"/>
      </w:pPr>
      <w:r>
        <w:rPr>
          <w:rFonts w:ascii="Arial" w:cs="Arial" w:eastAsia="Arial" w:hAnsi="Arial"/>
          <w:b/>
          <w:bCs/>
          <w:sz w:val="22"/>
          <w:szCs w:val="22"/>
        </w:rPr>
        <w:t xml:space="preserve">Step 4 — Outcome: </w:t>
      </w:r>
      <w:r>
        <w:rPr>
          <w:rFonts w:ascii="Arial" w:cs="Arial" w:eastAsia="Arial" w:hAnsi="Arial"/>
          <w:sz w:val="22"/>
          <w:szCs w:val="22"/>
        </w:rPr>
        <w:t xml:space="preserve">If approved, the AI service will be added to the register with any conditions of use documented. If not approved, you will be informed of the reason and, where possible, offered an alternative approach.</w:t>
      </w:r>
    </w:p>
    <w:p>
      <w:pPr>
        <w:spacing w:before="80" w:after="80"/>
      </w:pPr>
      <w:r>
        <w:rPr>
          <w:rFonts w:ascii="Arial" w:cs="Arial" w:eastAsia="Arial" w:hAnsi="Arial"/>
          <w:sz w:val="22"/>
          <w:szCs w:val="22"/>
        </w:rPr>
        <w:t xml:space="preserve">Using an unapproved AI service without completing this process is a breach of this policy and may result in disciplinary action.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Prohibited Activities</w:t>
      </w:r>
    </w:p>
    <w:p>
      <w:pPr>
        <w:spacing w:before="80" w:after="80"/>
      </w:pPr>
      <w:r>
        <w:rPr>
          <w:rFonts w:ascii="Arial" w:cs="Arial" w:eastAsia="Arial" w:hAnsi="Arial"/>
          <w:sz w:val="22"/>
          <w:szCs w:val="22"/>
        </w:rPr>
        <w:t xml:space="preserve">The following activities involving AI systems are strictly prohibited:</w:t>
      </w:r>
    </w:p>
    <w:p>
      <w:pPr>
        <w:pStyle w:val="ListParagraph"/>
        <w:numPr>
          <w:ilvl w:val="0"/>
          <w:numId w:val="2"/>
        </w:numPr>
        <w:spacing w:before="40" w:after="40"/>
      </w:pPr>
      <w:r>
        <w:rPr>
          <w:rFonts w:ascii="Arial" w:cs="Arial" w:eastAsia="Arial" w:hAnsi="Arial"/>
          <w:sz w:val="22"/>
          <w:szCs w:val="22"/>
        </w:rPr>
        <w:t xml:space="preserve">Generating or disseminating deceptive, misleading, discriminatory, abusive, or harmful content.</w:t>
      </w:r>
    </w:p>
    <w:p>
      <w:pPr>
        <w:pStyle w:val="ListParagraph"/>
        <w:numPr>
          <w:ilvl w:val="0"/>
          <w:numId w:val="2"/>
        </w:numPr>
        <w:spacing w:before="40" w:after="40"/>
      </w:pPr>
      <w:r>
        <w:rPr>
          <w:rFonts w:ascii="Arial" w:cs="Arial" w:eastAsia="Arial" w:hAnsi="Arial"/>
          <w:sz w:val="22"/>
          <w:szCs w:val="22"/>
        </w:rPr>
        <w:t xml:space="preserve">Using AI systems to manipulate individuals, spread disinformation, or create deceptive content.</w:t>
      </w:r>
    </w:p>
    <w:p>
      <w:pPr>
        <w:pStyle w:val="ListParagraph"/>
        <w:numPr>
          <w:ilvl w:val="0"/>
          <w:numId w:val="2"/>
        </w:numPr>
        <w:spacing w:before="40" w:after="40"/>
      </w:pPr>
      <w:r>
        <w:rPr>
          <w:rFonts w:ascii="Arial" w:cs="Arial" w:eastAsia="Arial" w:hAnsi="Arial"/>
          <w:sz w:val="22"/>
          <w:szCs w:val="22"/>
        </w:rPr>
        <w:t xml:space="preserve">Submitting client work, communications, reports, or deliverables generated wholly or substantially by AI without meaningful human review, editing, and appropriate disclosure.</w:t>
      </w:r>
    </w:p>
    <w:p>
      <w:pPr>
        <w:pStyle w:val="ListParagraph"/>
        <w:numPr>
          <w:ilvl w:val="0"/>
          <w:numId w:val="2"/>
        </w:numPr>
        <w:spacing w:before="40" w:after="40"/>
      </w:pPr>
      <w:r>
        <w:rPr>
          <w:rFonts w:ascii="Arial" w:cs="Arial" w:eastAsia="Arial" w:hAnsi="Arial"/>
          <w:sz w:val="22"/>
          <w:szCs w:val="22"/>
        </w:rPr>
        <w:t xml:space="preserve">Inputting confidential, personal, client, or proprietary information into unapproved or external AI systems.</w:t>
      </w:r>
    </w:p>
    <w:p>
      <w:pPr>
        <w:pStyle w:val="ListParagraph"/>
        <w:numPr>
          <w:ilvl w:val="0"/>
          <w:numId w:val="2"/>
        </w:numPr>
        <w:spacing w:before="40" w:after="40"/>
      </w:pPr>
      <w:r>
        <w:rPr>
          <w:rFonts w:ascii="Arial" w:cs="Arial" w:eastAsia="Arial" w:hAnsi="Arial"/>
          <w:sz w:val="22"/>
          <w:szCs w:val="22"/>
        </w:rPr>
        <w:t xml:space="preserve">Using AI systems to make consequential decisions about individuals without appropriate human oversight and review.</w:t>
      </w:r>
    </w:p>
    <w:p>
      <w:pPr>
        <w:pStyle w:val="ListParagraph"/>
        <w:numPr>
          <w:ilvl w:val="0"/>
          <w:numId w:val="2"/>
        </w:numPr>
        <w:spacing w:before="40" w:after="40"/>
      </w:pPr>
      <w:r>
        <w:rPr>
          <w:rFonts w:ascii="Arial" w:cs="Arial" w:eastAsia="Arial" w:hAnsi="Arial"/>
          <w:sz w:val="22"/>
          <w:szCs w:val="22"/>
        </w:rPr>
        <w:t xml:space="preserve">Circumventing organisational controls related to cybersecurity, privacy, or intellectual property protection, including through the use of personal devices, personal email accounts, or unapproved applications to access or process organisational or client data using AI tools.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Data Protection and Privacy</w:t>
      </w:r>
    </w:p>
    <w:p>
      <w:pPr>
        <w:spacing w:before="80" w:after="80"/>
      </w:pPr>
      <w:r>
        <w:rPr>
          <w:rFonts w:ascii="Arial" w:cs="Arial" w:eastAsia="Arial" w:hAnsi="Arial"/>
          <w:sz w:val="22"/>
          <w:szCs w:val="22"/>
        </w:rPr>
        <w:t xml:space="preserve">5.4.1  AI systems must only process personal information where a lawful basis exists in accordance with the Privacy Act 1988 (Cth) and the Australian Privacy Principles. Where AI systems process personal information, a Privacy Impact Assessment must be conducted prior to deployment.</w:t>
      </w:r>
    </w:p>
    <w:p>
      <w:pPr>
        <w:spacing w:before="60" w:after="60"/>
      </w:pPr>
      <w:r>
        <w:t xml:space="preserve"/>
      </w:r>
    </w:p>
    <w:p>
      <w:pPr>
        <w:spacing w:before="80" w:after="80"/>
      </w:pPr>
      <w:r>
        <w:rPr>
          <w:rFonts w:ascii="Arial" w:cs="Arial" w:eastAsia="Arial" w:hAnsi="Arial"/>
          <w:sz w:val="22"/>
          <w:szCs w:val="22"/>
        </w:rPr>
        <w:t xml:space="preserve">5.4.2  All data input into AI systems must be classified in accordance with the Information Classification Policy. The following AI-specific handling requirements apply by classification level:</w:t>
      </w:r>
    </w:p>
    <w:p>
      <w:pPr>
        <w:spacing w:before="80" w:after="80"/>
      </w:pPr>
      <w:r>
        <w:rPr>
          <w:rFonts w:ascii="Arial" w:cs="Arial" w:eastAsia="Arial" w:hAnsi="Arial"/>
          <w:b/>
          <w:bCs/>
          <w:sz w:val="22"/>
          <w:szCs w:val="22"/>
        </w:rPr>
        <w:t xml:space="preserve">Public: </w:t>
      </w:r>
      <w:r>
        <w:rPr>
          <w:rFonts w:ascii="Arial" w:cs="Arial" w:eastAsia="Arial" w:hAnsi="Arial"/>
          <w:sz w:val="22"/>
          <w:szCs w:val="22"/>
        </w:rPr>
        <w:t xml:space="preserve">AI systems may freely process public information. No restrictions apply.</w:t>
      </w:r>
    </w:p>
    <w:p>
      <w:pPr>
        <w:spacing w:before="80" w:after="80"/>
      </w:pPr>
      <w:r>
        <w:rPr>
          <w:rFonts w:ascii="Arial" w:cs="Arial" w:eastAsia="Arial" w:hAnsi="Arial"/>
          <w:b/>
          <w:bCs/>
          <w:sz w:val="22"/>
          <w:szCs w:val="22"/>
        </w:rPr>
        <w:t xml:space="preserve">Internal: </w:t>
      </w:r>
      <w:r>
        <w:rPr>
          <w:rFonts w:ascii="Arial" w:cs="Arial" w:eastAsia="Arial" w:hAnsi="Arial"/>
          <w:sz w:val="22"/>
          <w:szCs w:val="22"/>
        </w:rPr>
        <w:t xml:space="preserve">AI systems processing internal information must operate within the organisation's managed environment. External AI services must not be used for Internal-classified data unless explicitly approved.</w:t>
      </w:r>
    </w:p>
    <w:p>
      <w:pPr>
        <w:spacing w:before="80" w:after="80"/>
      </w:pPr>
      <w:r>
        <w:rPr>
          <w:rFonts w:ascii="Arial" w:cs="Arial" w:eastAsia="Arial" w:hAnsi="Arial"/>
          <w:b/>
          <w:bCs/>
          <w:sz w:val="22"/>
          <w:szCs w:val="22"/>
        </w:rPr>
        <w:t xml:space="preserve">Restricted: </w:t>
      </w:r>
      <w:r>
        <w:rPr>
          <w:rFonts w:ascii="Arial" w:cs="Arial" w:eastAsia="Arial" w:hAnsi="Arial"/>
          <w:sz w:val="22"/>
          <w:szCs w:val="22"/>
        </w:rPr>
        <w:t xml:space="preserve">Access limited to specifically authorised individuals. Data and outputs must be stored encrypted and transmitted over encrypted links. Only AI systems approved for Restricted data may be used.</w:t>
      </w:r>
    </w:p>
    <w:p>
      <w:pPr>
        <w:spacing w:before="80" w:after="80"/>
      </w:pPr>
      <w:r>
        <w:rPr>
          <w:rFonts w:ascii="Arial" w:cs="Arial" w:eastAsia="Arial" w:hAnsi="Arial"/>
          <w:b/>
          <w:bCs/>
          <w:sz w:val="22"/>
          <w:szCs w:val="22"/>
        </w:rPr>
        <w:t xml:space="preserve">Confidential: </w:t>
      </w:r>
      <w:r>
        <w:rPr>
          <w:rFonts w:ascii="Arial" w:cs="Arial" w:eastAsia="Arial" w:hAnsi="Arial"/>
          <w:sz w:val="22"/>
          <w:szCs w:val="22"/>
        </w:rPr>
        <w:t xml:space="preserve">The highest level of security applies. Only specifically approved AI systems may process Confidential data. External or cloud AI services for Confidential data are prohibited without a formal data processing agreement and executive approval.</w:t>
      </w:r>
    </w:p>
    <w:p>
      <w:pPr>
        <w:spacing w:before="60" w:after="60"/>
      </w:pPr>
      <w:r>
        <w:t xml:space="preserve"/>
      </w:r>
    </w:p>
    <w:p>
      <w:pPr>
        <w:spacing w:before="80" w:after="80"/>
      </w:pPr>
      <w:r>
        <w:rPr>
          <w:rFonts w:ascii="Arial" w:cs="Arial" w:eastAsia="Arial" w:hAnsi="Arial"/>
          <w:sz w:val="22"/>
          <w:szCs w:val="22"/>
        </w:rPr>
        <w:t xml:space="preserve">5.4.3  Data used by AI systems must comply with the AI Data Governance Policy.</w:t>
      </w:r>
    </w:p>
    <w:p>
      <w:pPr>
        <w:spacing w:before="80" w:after="80"/>
      </w:pPr>
      <w:r>
        <w:rPr>
          <w:rFonts w:ascii="Arial" w:cs="Arial" w:eastAsia="Arial" w:hAnsi="Arial"/>
          <w:sz w:val="22"/>
          <w:szCs w:val="22"/>
        </w:rPr>
        <w:t xml:space="preserve">5.4.4  Data handling must follow: data minimisation (only the minimum data necessary), purpose limitation (data used only for the specific defined purpose), confidentiality (appropriate classification labels applied to inputs and outputs), integrity (data must be accurate and fit for purpose), and security (data protected at all stages of AI processing).</w:t>
      </w:r>
    </w:p>
    <w:p>
      <w:pPr>
        <w:spacing w:before="80" w:after="80"/>
      </w:pPr>
      <w:r>
        <w:rPr>
          <w:rFonts w:ascii="Arial" w:cs="Arial" w:eastAsia="Arial" w:hAnsi="Arial"/>
          <w:sz w:val="22"/>
          <w:szCs w:val="22"/>
        </w:rPr>
        <w:t xml:space="preserve">5.4.5  AI outputs generated from classified data must be treated as information assets and classified at the same level as the most sensitive input data used to produce them. The Asset Owner is responsible for classifying, labelling, and protecting both data input to AI systems and the outputs those systems generate.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Intellectual Property Protection</w:t>
      </w:r>
    </w:p>
    <w:p>
      <w:pPr>
        <w:spacing w:before="80" w:after="80"/>
      </w:pPr>
      <w:r>
        <w:rPr>
          <w:rFonts w:ascii="Arial" w:cs="Arial" w:eastAsia="Arial" w:hAnsi="Arial"/>
          <w:sz w:val="22"/>
          <w:szCs w:val="22"/>
        </w:rPr>
        <w:t xml:space="preserve">5.5.1  AI-generated content created during the course of employment is the intellectual property of the organisation in accordance with the employee's contract of employment.</w:t>
      </w:r>
    </w:p>
    <w:p>
      <w:pPr>
        <w:spacing w:before="80" w:after="80"/>
      </w:pPr>
      <w:r>
        <w:rPr>
          <w:rFonts w:ascii="Arial" w:cs="Arial" w:eastAsia="Arial" w:hAnsi="Arial"/>
          <w:sz w:val="22"/>
          <w:szCs w:val="22"/>
        </w:rPr>
        <w:t xml:space="preserve">5.5.2  Users must ensure that datasets are lawfully sourced, training data complies with applicable licensing requirements, and AI outputs do not infringe third-party intellectual property rights.</w:t>
      </w:r>
    </w:p>
    <w:p>
      <w:pPr>
        <w:spacing w:before="80" w:after="80"/>
      </w:pPr>
      <w:r>
        <w:rPr>
          <w:rFonts w:ascii="Arial" w:cs="Arial" w:eastAsia="Arial" w:hAnsi="Arial"/>
          <w:sz w:val="22"/>
          <w:szCs w:val="22"/>
        </w:rPr>
        <w:t xml:space="preserve">5.5.3  Users must not use AI systems to reproduce, adapt, or substantially replicate copyrighted material in violation of applicable licensing agreements.</w:t>
      </w:r>
    </w:p>
    <w:p>
      <w:pPr>
        <w:spacing w:before="80" w:after="80"/>
      </w:pPr>
      <w:r>
        <w:rPr>
          <w:rFonts w:ascii="Arial" w:cs="Arial" w:eastAsia="Arial" w:hAnsi="Arial"/>
          <w:sz w:val="22"/>
          <w:szCs w:val="22"/>
        </w:rPr>
        <w:t xml:space="preserve">5.5.4  Upon departure, AI-generated content or outputs produced in the course of employment must not be retained.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Transparency and Disclosure</w:t>
      </w:r>
    </w:p>
    <w:p>
      <w:pPr>
        <w:spacing w:before="80" w:after="80"/>
      </w:pPr>
      <w:r>
        <w:rPr>
          <w:rFonts w:ascii="Arial" w:cs="Arial" w:eastAsia="Arial" w:hAnsi="Arial"/>
          <w:sz w:val="22"/>
          <w:szCs w:val="22"/>
        </w:rPr>
        <w:t xml:space="preserve">5.6.1  Individuals must be informed when they are interacting with, or when a decision affecting them has been significantly influenced by, an AI system. This obligation is consistent with the organisation's honesty and transparency values.</w:t>
      </w:r>
    </w:p>
    <w:p>
      <w:pPr>
        <w:spacing w:before="80" w:after="80"/>
      </w:pPr>
      <w:r>
        <w:rPr>
          <w:rFonts w:ascii="Arial" w:cs="Arial" w:eastAsia="Arial" w:hAnsi="Arial"/>
          <w:sz w:val="22"/>
          <w:szCs w:val="22"/>
        </w:rPr>
        <w:t xml:space="preserve">5.6.2  Content created or substantially assisted by AI must be disclosed where it could reasonably be mistaken as fully human-authored.</w:t>
      </w:r>
    </w:p>
    <w:p>
      <w:pPr>
        <w:spacing w:before="80" w:after="80"/>
      </w:pPr>
      <w:r>
        <w:rPr>
          <w:rFonts w:ascii="Arial" w:cs="Arial" w:eastAsia="Arial" w:hAnsi="Arial"/>
          <w:sz w:val="22"/>
          <w:szCs w:val="22"/>
        </w:rPr>
        <w:t xml:space="preserve">5.6.3  Known limitations, uncertainties, or risks associated with AI outputs must be communicated to relevant stakeholders before outputs are relied upon.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Human Oversight and Responsible Use of AI Outputs</w:t>
      </w:r>
    </w:p>
    <w:p>
      <w:pPr>
        <w:spacing w:before="80" w:after="80"/>
      </w:pPr>
      <w:r>
        <w:rPr>
          <w:rFonts w:ascii="Arial" w:cs="Arial" w:eastAsia="Arial" w:hAnsi="Arial"/>
          <w:sz w:val="22"/>
          <w:szCs w:val="22"/>
        </w:rPr>
        <w:t xml:space="preserve">5.7.1  AI systems that influence business decisions, client outcomes, or individual rights must be subject to appropriate human oversight proportionate to the risk and significance of the decision.</w:t>
      </w:r>
    </w:p>
    <w:p>
      <w:pPr>
        <w:spacing w:before="80" w:after="80"/>
      </w:pPr>
      <w:r>
        <w:rPr>
          <w:rFonts w:ascii="Arial" w:cs="Arial" w:eastAsia="Arial" w:hAnsi="Arial"/>
          <w:sz w:val="22"/>
          <w:szCs w:val="22"/>
        </w:rPr>
        <w:t xml:space="preserve">5.7.2  Human reviewers must: understand the capabilities and limitations of the AI system; critically review AI outputs for accuracy, bias, completeness, and relevance; retain authority to override, correct, or disregard AI outputs; and not defer to AI outputs without applying independent professional judgment.</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5.7.3  Automated and Agentic AI — Human Decision Authority</w:t>
      </w:r>
    </w:p>
    <w:p>
      <w:pPr>
        <w:spacing w:before="80" w:after="80"/>
      </w:pPr>
      <w:r>
        <w:rPr>
          <w:rFonts w:ascii="Arial" w:cs="Arial" w:eastAsia="Arial" w:hAnsi="Arial"/>
          <w:sz w:val="22"/>
          <w:szCs w:val="22"/>
        </w:rPr>
        <w:t xml:space="preserve">AI systems must not make fully Automated Decisions that significantly affect individuals without meaningful human involvement before the decision takes effect. This applies particularly to decisions relating to client recommendations, employment outcomes, financial transactions or approvals, access rights or account actions, and any outcome with legal, financial, reputational, or safety consequences.</w:t>
      </w:r>
    </w:p>
    <w:p>
      <w:pPr>
        <w:spacing w:before="80" w:after="80"/>
      </w:pPr>
      <w:r>
        <w:rPr>
          <w:rFonts w:ascii="Arial" w:cs="Arial" w:eastAsia="Arial" w:hAnsi="Arial"/>
          <w:sz w:val="22"/>
          <w:szCs w:val="22"/>
        </w:rPr>
        <w:t xml:space="preserve">Agentic AI systems require explicit approval from an AI System Owner before deployment. The scope of autonomous action permitted must be documented, and a human must remain able to intervene, pause, or override the system at any point.</w:t>
      </w:r>
    </w:p>
    <w:p>
      <w:pPr>
        <w:spacing w:before="80" w:after="80"/>
      </w:pPr>
      <w:r>
        <w:rPr>
          <w:rFonts w:ascii="Arial" w:cs="Arial" w:eastAsia="Arial" w:hAnsi="Arial"/>
          <w:sz w:val="22"/>
          <w:szCs w:val="22"/>
        </w:rPr>
        <w:t xml:space="preserve">AI-powered bots used for routine, low-risk automation do not require the same level of oversight as Agentic AI, but must still be approved, registered in the AI System Register, and monitored for unexpected behaviour.</w:t>
      </w:r>
    </w:p>
    <w:p>
      <w:pPr>
        <w:spacing w:before="80" w:after="80"/>
      </w:pPr>
      <w:r>
        <w:rPr>
          <w:rFonts w:ascii="Arial" w:cs="Arial" w:eastAsia="Arial" w:hAnsi="Arial"/>
          <w:sz w:val="22"/>
          <w:szCs w:val="22"/>
        </w:rPr>
        <w:t xml:space="preserve">5.7.4–5.7.6  AI outputs must not be treated as authoritative without human validation. Users must critically evaluate outputs for accuracy, bias, completeness, and relevance. AI outputs must not be used as the sole basis for critical decisions without independent verification.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Reporting Obligations</w:t>
      </w:r>
    </w:p>
    <w:p>
      <w:pPr>
        <w:spacing w:before="80" w:after="80"/>
      </w:pPr>
      <w:r>
        <w:rPr>
          <w:rFonts w:ascii="Arial" w:cs="Arial" w:eastAsia="Arial" w:hAnsi="Arial"/>
          <w:sz w:val="22"/>
          <w:szCs w:val="22"/>
        </w:rPr>
        <w:t xml:space="preserve">5.8.1  Users must promptly report any of the following to the AI Compliance Officer / Information Security Officer:</w:t>
      </w:r>
    </w:p>
    <w:p>
      <w:pPr>
        <w:pStyle w:val="ListParagraph"/>
        <w:numPr>
          <w:ilvl w:val="0"/>
          <w:numId w:val="2"/>
        </w:numPr>
        <w:spacing w:before="40" w:after="40"/>
      </w:pPr>
      <w:r>
        <w:rPr>
          <w:rFonts w:ascii="Arial" w:cs="Arial" w:eastAsia="Arial" w:hAnsi="Arial"/>
          <w:sz w:val="22"/>
          <w:szCs w:val="22"/>
        </w:rPr>
        <w:t xml:space="preserve">Misuse of AI systems — e.g. using unauthorised tools, inputting classified data into unapproved services.</w:t>
      </w:r>
    </w:p>
    <w:p>
      <w:pPr>
        <w:pStyle w:val="ListParagraph"/>
        <w:numPr>
          <w:ilvl w:val="0"/>
          <w:numId w:val="2"/>
        </w:numPr>
        <w:spacing w:before="40" w:after="40"/>
      </w:pPr>
      <w:r>
        <w:rPr>
          <w:rFonts w:ascii="Arial" w:cs="Arial" w:eastAsia="Arial" w:hAnsi="Arial"/>
          <w:sz w:val="22"/>
          <w:szCs w:val="22"/>
        </w:rPr>
        <w:t xml:space="preserve">Malfunction or abnormal behaviour — e.g. inconsistent, nonsensical, or unexpectedly high-risk outputs.</w:t>
      </w:r>
    </w:p>
    <w:p>
      <w:pPr>
        <w:pStyle w:val="ListParagraph"/>
        <w:numPr>
          <w:ilvl w:val="0"/>
          <w:numId w:val="2"/>
        </w:numPr>
        <w:spacing w:before="40" w:after="40"/>
      </w:pPr>
      <w:r>
        <w:rPr>
          <w:rFonts w:ascii="Arial" w:cs="Arial" w:eastAsia="Arial" w:hAnsi="Arial"/>
          <w:sz w:val="22"/>
          <w:szCs w:val="22"/>
        </w:rPr>
        <w:t xml:space="preserve">Biased or discriminatory outcomes — e.g. outputs that favour or disadvantage individuals based on protected characteristics.</w:t>
      </w:r>
    </w:p>
    <w:p>
      <w:pPr>
        <w:pStyle w:val="ListParagraph"/>
        <w:numPr>
          <w:ilvl w:val="0"/>
          <w:numId w:val="2"/>
        </w:numPr>
        <w:spacing w:before="40" w:after="40"/>
      </w:pPr>
      <w:r>
        <w:rPr>
          <w:rFonts w:ascii="Arial" w:cs="Arial" w:eastAsia="Arial" w:hAnsi="Arial"/>
          <w:sz w:val="22"/>
          <w:szCs w:val="22"/>
        </w:rPr>
        <w:t xml:space="preserve">AI-generated content submitted as human-authored work without disclosure.</w:t>
      </w:r>
    </w:p>
    <w:p>
      <w:pPr>
        <w:pStyle w:val="ListParagraph"/>
        <w:numPr>
          <w:ilvl w:val="0"/>
          <w:numId w:val="2"/>
        </w:numPr>
        <w:spacing w:before="40" w:after="40"/>
      </w:pPr>
      <w:r>
        <w:rPr>
          <w:rFonts w:ascii="Arial" w:cs="Arial" w:eastAsia="Arial" w:hAnsi="Arial"/>
          <w:sz w:val="22"/>
          <w:szCs w:val="22"/>
        </w:rPr>
        <w:t xml:space="preserve">Security vulnerabilities — e.g. suspected data leakage, prompt injection attempts, AI used as attack vectors.</w:t>
      </w:r>
    </w:p>
    <w:p>
      <w:pPr>
        <w:pStyle w:val="ListParagraph"/>
        <w:numPr>
          <w:ilvl w:val="0"/>
          <w:numId w:val="2"/>
        </w:numPr>
        <w:spacing w:before="40" w:after="40"/>
      </w:pPr>
      <w:r>
        <w:rPr>
          <w:rFonts w:ascii="Arial" w:cs="Arial" w:eastAsia="Arial" w:hAnsi="Arial"/>
          <w:sz w:val="22"/>
          <w:szCs w:val="22"/>
        </w:rPr>
        <w:t xml:space="preserve">Ethical concerns — e.g. AI producing content that conflicts with organisational values or is used to surveil or manipulate individuals.</w:t>
      </w:r>
    </w:p>
    <w:p>
      <w:pPr>
        <w:spacing w:before="80" w:after="80"/>
      </w:pPr>
      <w:r>
        <w:rPr>
          <w:rFonts w:ascii="Arial" w:cs="Arial" w:eastAsia="Arial" w:hAnsi="Arial"/>
          <w:sz w:val="22"/>
          <w:szCs w:val="22"/>
        </w:rPr>
        <w:t xml:space="preserve">5.8.2  Reports must be submitted to the AI Compliance Officer / Information Security Officer. Reports may be made anonymously where appropriate. Users must cooperate fully with any investigation relating to AI system usage.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5.9  AI Literacy and Training</w:t>
      </w:r>
    </w:p>
    <w:p>
      <w:pPr>
        <w:spacing w:before="80" w:after="80"/>
      </w:pPr>
      <w:r>
        <w:rPr>
          <w:rFonts w:ascii="Arial" w:cs="Arial" w:eastAsia="Arial" w:hAnsi="Arial"/>
          <w:sz w:val="22"/>
          <w:szCs w:val="22"/>
        </w:rPr>
        <w:t xml:space="preserve">5.9.1  Users must complete required training before using AI systems where such training is mandated by the organisation.</w:t>
      </w:r>
    </w:p>
    <w:p>
      <w:pPr>
        <w:spacing w:before="80" w:after="80"/>
      </w:pPr>
      <w:r>
        <w:rPr>
          <w:rFonts w:ascii="Arial" w:cs="Arial" w:eastAsia="Arial" w:hAnsi="Arial"/>
          <w:sz w:val="22"/>
          <w:szCs w:val="22"/>
        </w:rPr>
        <w:t xml:space="preserve">5.9.2  Training programs cover: responsible AI use; accountability and professional judgment; data protection and information classification; risks including bias, hallucination, data leakage, and security threats; prompt writing and output evaluation; and how to report AI-related concerns.</w:t>
      </w:r>
    </w:p>
    <w:p>
      <w:pPr>
        <w:spacing w:before="80" w:after="80"/>
      </w:pPr>
      <w:r>
        <w:rPr>
          <w:rFonts w:ascii="Arial" w:cs="Arial" w:eastAsia="Arial" w:hAnsi="Arial"/>
          <w:sz w:val="22"/>
          <w:szCs w:val="22"/>
        </w:rPr>
        <w:t xml:space="preserve">5.9.3  Role-specific training may be required for individuals responsible for developing, managing, approving, or reviewing AI systems.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5.10  Employee Obligations</w:t>
      </w:r>
    </w:p>
    <w:p>
      <w:pPr>
        <w:spacing w:before="80" w:after="80"/>
      </w:pPr>
      <w:r>
        <w:rPr>
          <w:rFonts w:ascii="Arial" w:cs="Arial" w:eastAsia="Arial" w:hAnsi="Arial"/>
          <w:sz w:val="22"/>
          <w:szCs w:val="22"/>
        </w:rPr>
        <w:t xml:space="preserve">In addition to all other requirements in this policy, the following obligations apply to all employees:</w:t>
      </w:r>
    </w:p>
    <w:p>
      <w:pPr>
        <w:spacing w:before="80" w:after="80"/>
      </w:pPr>
      <w:r>
        <w:rPr>
          <w:rFonts w:ascii="Arial" w:cs="Arial" w:eastAsia="Arial" w:hAnsi="Arial"/>
          <w:b/>
          <w:bCs/>
          <w:sz w:val="22"/>
          <w:szCs w:val="22"/>
        </w:rPr>
        <w:t xml:space="preserve">5.10.1  Know What Is Approved: </w:t>
      </w:r>
      <w:r>
        <w:rPr>
          <w:rFonts w:ascii="Arial" w:cs="Arial" w:eastAsia="Arial" w:hAnsi="Arial"/>
          <w:sz w:val="22"/>
          <w:szCs w:val="22"/>
        </w:rPr>
        <w:t xml:space="preserve">Check the AI System Register before using any AI tool for business purposes. If a tool is not on the register, follow the exemption request process in section 5.2.5.</w:t>
      </w:r>
    </w:p>
    <w:p>
      <w:pPr>
        <w:spacing w:before="80" w:after="80"/>
      </w:pPr>
      <w:r>
        <w:rPr>
          <w:rFonts w:ascii="Arial" w:cs="Arial" w:eastAsia="Arial" w:hAnsi="Arial"/>
          <w:b/>
          <w:bCs/>
          <w:sz w:val="22"/>
          <w:szCs w:val="22"/>
        </w:rPr>
        <w:t xml:space="preserve">5.10.2  Comply with This Policy and the AI Governance Policy: </w:t>
      </w:r>
      <w:r>
        <w:rPr>
          <w:rFonts w:ascii="Arial" w:cs="Arial" w:eastAsia="Arial" w:hAnsi="Arial"/>
          <w:sz w:val="22"/>
          <w:szCs w:val="22"/>
        </w:rPr>
        <w:t xml:space="preserve">Read, understand, and comply with this policy and the AI Governance Policy. Policy updates are communicated and compliance is expected promptly.</w:t>
      </w:r>
    </w:p>
    <w:p>
      <w:pPr>
        <w:spacing w:before="80" w:after="80"/>
      </w:pPr>
      <w:r>
        <w:rPr>
          <w:rFonts w:ascii="Arial" w:cs="Arial" w:eastAsia="Arial" w:hAnsi="Arial"/>
          <w:b/>
          <w:bCs/>
          <w:sz w:val="22"/>
          <w:szCs w:val="22"/>
        </w:rPr>
        <w:t xml:space="preserve">5.10.3  Complete Required AI Training: </w:t>
      </w:r>
      <w:r>
        <w:rPr>
          <w:rFonts w:ascii="Arial" w:cs="Arial" w:eastAsia="Arial" w:hAnsi="Arial"/>
          <w:sz w:val="22"/>
          <w:szCs w:val="22"/>
        </w:rPr>
        <w:t xml:space="preserve">Complete all mandatory AI training before using AI systems for business purposes where required.</w:t>
      </w:r>
    </w:p>
    <w:p>
      <w:pPr>
        <w:spacing w:before="80" w:after="80"/>
      </w:pPr>
      <w:r>
        <w:rPr>
          <w:rFonts w:ascii="Arial" w:cs="Arial" w:eastAsia="Arial" w:hAnsi="Arial"/>
          <w:b/>
          <w:bCs/>
          <w:sz w:val="22"/>
          <w:szCs w:val="22"/>
        </w:rPr>
        <w:t xml:space="preserve">5.10.4  Report Concerns: </w:t>
      </w:r>
      <w:r>
        <w:rPr>
          <w:rFonts w:ascii="Arial" w:cs="Arial" w:eastAsia="Arial" w:hAnsi="Arial"/>
          <w:sz w:val="22"/>
          <w:szCs w:val="22"/>
        </w:rPr>
        <w:t xml:space="preserve">Report AI-related concerns, incidents, and suspected misuse promptly to the AI Compliance Officer. A reasonable suspicion is sufficient — you do not need certainty.</w:t>
      </w:r>
    </w:p>
    <w:p>
      <w:pPr>
        <w:spacing w:before="80" w:after="80"/>
      </w:pPr>
      <w:r>
        <w:rPr>
          <w:rFonts w:ascii="Arial" w:cs="Arial" w:eastAsia="Arial" w:hAnsi="Arial"/>
          <w:b/>
          <w:bCs/>
          <w:sz w:val="22"/>
          <w:szCs w:val="22"/>
        </w:rPr>
        <w:t xml:space="preserve">5.10.5  Do Not Use AI to Bypass Controls: </w:t>
      </w:r>
      <w:r>
        <w:rPr>
          <w:rFonts w:ascii="Arial" w:cs="Arial" w:eastAsia="Arial" w:hAnsi="Arial"/>
          <w:sz w:val="22"/>
          <w:szCs w:val="22"/>
        </w:rPr>
        <w:t xml:space="preserve">Do not use AI tools to circumvent security, privacy, data governance, or access controls.</w:t>
      </w:r>
    </w:p>
    <w:p>
      <w:pPr>
        <w:spacing w:before="80" w:after="80"/>
      </w:pPr>
      <w:r>
        <w:rPr>
          <w:rFonts w:ascii="Arial" w:cs="Arial" w:eastAsia="Arial" w:hAnsi="Arial"/>
          <w:b/>
          <w:bCs/>
          <w:sz w:val="22"/>
          <w:szCs w:val="22"/>
        </w:rPr>
        <w:t xml:space="preserve">5.10.6  Protect Client and Organisational Data: </w:t>
      </w:r>
      <w:r>
        <w:rPr>
          <w:rFonts w:ascii="Arial" w:cs="Arial" w:eastAsia="Arial" w:hAnsi="Arial"/>
          <w:sz w:val="22"/>
          <w:szCs w:val="22"/>
        </w:rPr>
        <w:t xml:space="preserve">Do not input client data, Restricted or Confidential information into any AI system without explicit written authorisation.</w:t>
      </w:r>
    </w:p>
    <w:p>
      <w:pPr>
        <w:spacing w:before="80" w:after="80"/>
      </w:pPr>
      <w:r>
        <w:rPr>
          <w:rFonts w:ascii="Arial" w:cs="Arial" w:eastAsia="Arial" w:hAnsi="Arial"/>
          <w:b/>
          <w:bCs/>
          <w:sz w:val="22"/>
          <w:szCs w:val="22"/>
        </w:rPr>
        <w:t xml:space="preserve">5.10.7  Apply Human Judgment: </w:t>
      </w:r>
      <w:r>
        <w:rPr>
          <w:rFonts w:ascii="Arial" w:cs="Arial" w:eastAsia="Arial" w:hAnsi="Arial"/>
          <w:sz w:val="22"/>
          <w:szCs w:val="22"/>
        </w:rPr>
        <w:t xml:space="preserve">You are personally responsible for the quality and accuracy of any work product you submit, regardless of whether AI assisted in producing it.</w:t>
      </w:r>
    </w:p>
    <w:p>
      <w:pPr>
        <w:spacing w:before="80" w:after="80"/>
      </w:pPr>
      <w:r>
        <w:rPr>
          <w:rFonts w:ascii="Arial" w:cs="Arial" w:eastAsia="Arial" w:hAnsi="Arial"/>
          <w:b/>
          <w:bCs/>
          <w:sz w:val="22"/>
          <w:szCs w:val="22"/>
        </w:rPr>
        <w:t xml:space="preserve">5.10.8  Understand Your Role in the Governance Framework: </w:t>
      </w:r>
      <w:r>
        <w:rPr>
          <w:rFonts w:ascii="Arial" w:cs="Arial" w:eastAsia="Arial" w:hAnsi="Arial"/>
          <w:sz w:val="22"/>
          <w:szCs w:val="22"/>
        </w:rPr>
        <w:t xml:space="preserve">Your compliance is what gives the governance framework its operational meaning. If unsure about your obligations, ask your manager or refer to the AI Governance Policy.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Compliance</w:t>
      </w:r>
    </w:p>
    <w:p>
      <w:pPr>
        <w:spacing w:before="80" w:after="80"/>
      </w:pPr>
      <w:r>
        <w:rPr>
          <w:rFonts w:ascii="Arial" w:cs="Arial" w:eastAsia="Arial" w:hAnsi="Arial"/>
          <w:sz w:val="22"/>
          <w:szCs w:val="22"/>
        </w:rPr>
        <w:t xml:space="preserve">All users must comply with this policy. Failure to comply may result in disciplinary action in accordance with the Disciplinary Procedure. Serious violations may result in suspension of system access, disciplinary proceedings, termination of employment or contract, or legal action where applicable.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Policy Review</w:t>
      </w:r>
    </w:p>
    <w:p>
      <w:pPr>
        <w:spacing w:before="80" w:after="80"/>
      </w:pPr>
      <w:r>
        <w:rPr>
          <w:rFonts w:ascii="Arial" w:cs="Arial" w:eastAsia="Arial" w:hAnsi="Arial"/>
          <w:sz w:val="22"/>
          <w:szCs w:val="22"/>
        </w:rPr>
        <w:t xml:space="preserve">This policy will be reviewed at least annually. Earlier review may occur if significant regulatory changes occur, new AI technologies are adopted, risk assessments identify the need for updates, or a significant AI-related incident occurs.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AI Governance Policy (POL-AI-002)</w:t>
      </w:r>
    </w:p>
    <w:p>
      <w:pPr>
        <w:pStyle w:val="ListParagraph"/>
        <w:numPr>
          <w:ilvl w:val="0"/>
          <w:numId w:val="2"/>
        </w:numPr>
        <w:spacing w:before="40" w:after="40"/>
      </w:pPr>
      <w:r>
        <w:rPr>
          <w:rFonts w:ascii="Arial" w:cs="Arial" w:eastAsia="Arial" w:hAnsi="Arial"/>
          <w:sz w:val="22"/>
          <w:szCs w:val="22"/>
        </w:rPr>
        <w:t xml:space="preserve">AI Data Governance Policy (POL-AI-003)</w:t>
      </w:r>
    </w:p>
    <w:p>
      <w:pPr>
        <w:pStyle w:val="ListParagraph"/>
        <w:numPr>
          <w:ilvl w:val="0"/>
          <w:numId w:val="2"/>
        </w:numPr>
        <w:spacing w:before="40" w:after="40"/>
      </w:pPr>
      <w:r>
        <w:rPr>
          <w:rFonts w:ascii="Arial" w:cs="Arial" w:eastAsia="Arial" w:hAnsi="Arial"/>
          <w:sz w:val="22"/>
          <w:szCs w:val="22"/>
        </w:rPr>
        <w:t xml:space="preserve">AI Audit Logging and Performance Monitoring Policy (POL-AI-004)</w:t>
      </w:r>
    </w:p>
    <w:p>
      <w:pPr>
        <w:pStyle w:val="ListParagraph"/>
        <w:numPr>
          <w:ilvl w:val="0"/>
          <w:numId w:val="2"/>
        </w:numPr>
        <w:spacing w:before="40" w:after="40"/>
      </w:pPr>
      <w:r>
        <w:rPr>
          <w:rFonts w:ascii="Arial" w:cs="Arial" w:eastAsia="Arial" w:hAnsi="Arial"/>
          <w:sz w:val="22"/>
          <w:szCs w:val="22"/>
        </w:rPr>
        <w:t xml:space="preserve">Acceptable Use Policy (POL-GEN-001)</w:t>
      </w:r>
    </w:p>
    <w:p>
      <w:pPr>
        <w:pStyle w:val="ListParagraph"/>
        <w:numPr>
          <w:ilvl w:val="0"/>
          <w:numId w:val="2"/>
        </w:numPr>
        <w:spacing w:before="40" w:after="40"/>
      </w:pPr>
      <w:r>
        <w:rPr>
          <w:rFonts w:ascii="Arial" w:cs="Arial" w:eastAsia="Arial" w:hAnsi="Arial"/>
          <w:sz w:val="22"/>
          <w:szCs w:val="22"/>
        </w:rPr>
        <w:t xml:space="preserve">Privacy Policy (POL-GEN-002)</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Security Training and Awareness Policy (POL-SEC-006)</w:t>
      </w:r>
    </w:p>
    <w:p>
      <w:pPr>
        <w:pStyle w:val="ListParagraph"/>
        <w:numPr>
          <w:ilvl w:val="0"/>
          <w:numId w:val="2"/>
        </w:numPr>
        <w:spacing w:before="40" w:after="40"/>
      </w:pPr>
      <w:r>
        <w:rPr>
          <w:rFonts w:ascii="Arial" w:cs="Arial" w:eastAsia="Arial" w:hAnsi="Arial"/>
          <w:sz w:val="22"/>
          <w:szCs w:val="22"/>
        </w:rPr>
        <w:t xml:space="preserve">Disciplinary Procedure (POL-HR-001)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2026-03-30T13:53:30.957Z</dcterms:created>
  <dcterms:modified xsi:type="dcterms:W3CDTF">2026-03-30T13:53:30.957Z</dcterms:modified>
</cp:coreProperties>
</file>

<file path=docProps/custom.xml><?xml version="1.0" encoding="utf-8"?>
<Properties xmlns="http://schemas.openxmlformats.org/officeDocument/2006/custom-properties" xmlns:vt="http://schemas.openxmlformats.org/officeDocument/2006/docPropsVTypes"/>
</file>