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AI GOVERNANCE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Governance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POL-AI-002</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Compliance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 — Policies for information security</w:t>
            </w:r>
          </w:p>
          <w:p>
            <w:r>
              <w:rPr>
                <w:rFonts w:ascii="Arial" w:cs="Arial" w:eastAsia="Arial" w:hAnsi="Arial"/>
                <w:sz w:val="22"/>
                <w:szCs w:val="22"/>
              </w:rPr>
              <w:t xml:space="preserve">A.5.2 — Information security roles and responsibilities</w:t>
            </w:r>
          </w:p>
          <w:p>
            <w:r>
              <w:rPr>
                <w:rFonts w:ascii="Arial" w:cs="Arial" w:eastAsia="Arial" w:hAnsi="Arial"/>
                <w:sz w:val="22"/>
                <w:szCs w:val="22"/>
              </w:rPr>
              <w:t xml:space="preserve">A.5.4 — Management responsibilities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adoption of AI systems introduces new governance, risk, and compliance obligations. This policy establishes the governance framework for the responsible adoption, oversight, and lifecycle management of AI systems within the organisation. It defines roles, decision-making structures, risk assessment requirements, and accountability mechanisms to ensure AI is deployed safely, ethically, and in accordance with applicable obligations.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establishes the governance structures, approval processes, accountability mechanisms, and oversight requirements that apply to all AI systems within the organisation's environment. It supports the Responsible Use of AI Policy by defining how governance decisions are made, communicated, and enforced.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AI systems used for business purposes, all personnel involved in evaluating, approving, deploying, or managing AI systems, and all decisions relating to AI risk management and compliance.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Governance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system of policies, processes, roles, and accountability mechanisms that govern how AI systems are adopted, managed, and overseen.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Technology Governance Council</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governance body responsible for reviewing and approving AI system requests and ensuring alignment with organisational risk appetite.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Compliance Officer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individual responsible for AI governance oversight, register maintenance, compliance monitoring, and incident escalation.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AI System Register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central register of all approved AI systems, recording owner, data classification, risk rating, approval status, and conditions of use.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Risk Appetite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level of risk the organisation is willing to accept in pursuit of its objectives, as defined by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Privacy Impact Assessment (PIA)</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structured assessment of the privacy risks associated with a new or changed AI system processing personal information.</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Governance Structure</w:t>
      </w:r>
    </w:p>
    <w:p>
      <w:pPr>
        <w:pStyle w:val="Heading2"/>
        <w:spacing w:before="180" w:after="80"/>
      </w:pPr>
      <w:r>
        <w:rPr>
          <w:rFonts w:ascii="Arial" w:cs="Arial" w:eastAsia="Arial" w:hAnsi="Arial"/>
          <w:b/>
          <w:bCs/>
          <w:color w:val="2E5496"/>
          <w:sz w:val="26"/>
          <w:szCs w:val="26"/>
        </w:rPr>
        <w:t xml:space="preserve">5.1  Governance Bodies and Roles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6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Board / Executive Management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Sets organisational risk appetite for AI; approves the AI Governance Policy; receives quarterly AI governance reports.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AI Compliance Officer</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Owns the AI Governance Policy; maintains the AI System Register; reviews and approves AI risk assessments; oversees AI compliance; escalates material incidents to executive management.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Technology Governance Council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Reviews and approves requests for new AI systems; assesses AI risk against organisational criteria; makes final approval or rejection decisions; reports to executive management.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AI System Owners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Responsible for governance, monitoring, and lifecycle management of specific AI systems; must ensure their systems remain within approved conditions of use.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Provides security assessment input for AI risk evaluations; oversees AI-related security incidents; reviews AI systems for security compliance.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All Employees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Comply with this policy and the Responsible Use of AI Policy; complete mandatory AI training; report concerns and incidents promptly.</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5.2  RACI Summary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700"/>
        <w:gridCol w:w="1400"/>
        <w:gridCol w:w="1300"/>
        <w:gridCol w:w="1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Activity</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Executive Mgmt</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AI Compliance Officer</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Tech Gov. Council</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AI System Owner</w:t>
            </w:r>
          </w:p>
        </w:tc>
        <w:tc>
          <w:tcPr>
            <w:tcW w:type="dxa" w:w="1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All Employees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Set AI risk appetite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Approve new AI systems</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w:t>
            </w:r>
          </w:p>
        </w:tc>
        <w:tc>
          <w:tcPr>
            <w:tcW w:type="dxa" w:w="1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A/R</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w:t>
            </w:r>
          </w:p>
        </w:tc>
        <w:tc>
          <w:tcPr>
            <w:tcW w:type="dxa" w:w="1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Maintain AI System Register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Conduct AI risk assessments</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w:t>
            </w:r>
          </w:p>
        </w:tc>
        <w:tc>
          <w:tcPr>
            <w:tcW w:type="dxa" w:w="1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A/R</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w:t>
            </w:r>
          </w:p>
        </w:tc>
        <w:tc>
          <w:tcPr>
            <w:tcW w:type="dxa" w:w="1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Monitor approved AI systems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Report AI incidents</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w:t>
            </w:r>
          </w:p>
        </w:tc>
        <w:tc>
          <w:tcPr>
            <w:tcW w:type="dxa" w:w="1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A/R</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w:t>
            </w:r>
          </w:p>
        </w:tc>
        <w:tc>
          <w:tcPr>
            <w:tcW w:type="dxa" w:w="1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Complete AI training</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AI Risk Assessment and Approval Process</w:t>
      </w:r>
    </w:p>
    <w:p>
      <w:pPr>
        <w:pStyle w:val="Heading2"/>
        <w:spacing w:before="180" w:after="80"/>
      </w:pPr>
      <w:r>
        <w:rPr>
          <w:rFonts w:ascii="Arial" w:cs="Arial" w:eastAsia="Arial" w:hAnsi="Arial"/>
          <w:b/>
          <w:bCs/>
          <w:color w:val="2E5496"/>
          <w:sz w:val="26"/>
          <w:szCs w:val="26"/>
        </w:rPr>
        <w:t xml:space="preserve">6.1  When a Risk Assessment Is Required</w:t>
      </w:r>
    </w:p>
    <w:p>
      <w:pPr>
        <w:spacing w:before="80" w:after="80"/>
      </w:pPr>
      <w:r>
        <w:rPr>
          <w:rFonts w:ascii="Arial" w:cs="Arial" w:eastAsia="Arial" w:hAnsi="Arial"/>
          <w:sz w:val="22"/>
          <w:szCs w:val="22"/>
        </w:rPr>
        <w:t xml:space="preserve">A formal AI risk assessment is required before any new AI system is deployed for business purposes, before an existing approved AI system is materially changed or extended, and when an AI system is to be used with a higher data classification than originally approved.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6.2  Risk Assessment Criteria</w:t>
      </w:r>
    </w:p>
    <w:p>
      <w:pPr>
        <w:spacing w:before="80" w:after="80"/>
      </w:pPr>
      <w:r>
        <w:rPr>
          <w:rFonts w:ascii="Arial" w:cs="Arial" w:eastAsia="Arial" w:hAnsi="Arial"/>
          <w:sz w:val="22"/>
          <w:szCs w:val="22"/>
        </w:rPr>
        <w:t xml:space="preserve">AI risk assessments must evaluate the following dimensions:</w:t>
      </w:r>
    </w:p>
    <w:p>
      <w:pPr>
        <w:pStyle w:val="ListParagraph"/>
        <w:numPr>
          <w:ilvl w:val="0"/>
          <w:numId w:val="2"/>
        </w:numPr>
        <w:spacing w:before="40" w:after="40"/>
      </w:pPr>
      <w:r>
        <w:rPr>
          <w:rFonts w:ascii="Arial" w:cs="Arial" w:eastAsia="Arial" w:hAnsi="Arial"/>
          <w:sz w:val="22"/>
          <w:szCs w:val="22"/>
        </w:rPr>
        <w:t xml:space="preserve">Data risk: classification of data to be processed, volume, sensitivity, and whether personal information is involved</w:t>
      </w:r>
    </w:p>
    <w:p>
      <w:pPr>
        <w:pStyle w:val="ListParagraph"/>
        <w:numPr>
          <w:ilvl w:val="0"/>
          <w:numId w:val="2"/>
        </w:numPr>
        <w:spacing w:before="40" w:after="40"/>
      </w:pPr>
      <w:r>
        <w:rPr>
          <w:rFonts w:ascii="Arial" w:cs="Arial" w:eastAsia="Arial" w:hAnsi="Arial"/>
          <w:sz w:val="22"/>
          <w:szCs w:val="22"/>
        </w:rPr>
        <w:t xml:space="preserve">Privacy risk: whether a Privacy Impact Assessment is required under the Privacy Act 1988 (Cth)</w:t>
      </w:r>
    </w:p>
    <w:p>
      <w:pPr>
        <w:pStyle w:val="ListParagraph"/>
        <w:numPr>
          <w:ilvl w:val="0"/>
          <w:numId w:val="2"/>
        </w:numPr>
        <w:spacing w:before="40" w:after="40"/>
      </w:pPr>
      <w:r>
        <w:rPr>
          <w:rFonts w:ascii="Arial" w:cs="Arial" w:eastAsia="Arial" w:hAnsi="Arial"/>
          <w:sz w:val="22"/>
          <w:szCs w:val="22"/>
        </w:rPr>
        <w:t xml:space="preserve">Security risk: threat vectors, authentication requirements, data leakage risk, and integration security</w:t>
      </w:r>
    </w:p>
    <w:p>
      <w:pPr>
        <w:pStyle w:val="ListParagraph"/>
        <w:numPr>
          <w:ilvl w:val="0"/>
          <w:numId w:val="2"/>
        </w:numPr>
        <w:spacing w:before="40" w:after="40"/>
      </w:pPr>
      <w:r>
        <w:rPr>
          <w:rFonts w:ascii="Arial" w:cs="Arial" w:eastAsia="Arial" w:hAnsi="Arial"/>
          <w:sz w:val="22"/>
          <w:szCs w:val="22"/>
        </w:rPr>
        <w:t xml:space="preserve">Ethical risk: potential for bias, discriminatory outcomes, or misuse</w:t>
      </w:r>
    </w:p>
    <w:p>
      <w:pPr>
        <w:pStyle w:val="ListParagraph"/>
        <w:numPr>
          <w:ilvl w:val="0"/>
          <w:numId w:val="2"/>
        </w:numPr>
        <w:spacing w:before="40" w:after="40"/>
      </w:pPr>
      <w:r>
        <w:rPr>
          <w:rFonts w:ascii="Arial" w:cs="Arial" w:eastAsia="Arial" w:hAnsi="Arial"/>
          <w:sz w:val="22"/>
          <w:szCs w:val="22"/>
        </w:rPr>
        <w:t xml:space="preserve">Operational risk: service reliability, vendor lock-in, and business continuity</w:t>
      </w:r>
    </w:p>
    <w:p>
      <w:pPr>
        <w:pStyle w:val="ListParagraph"/>
        <w:numPr>
          <w:ilvl w:val="0"/>
          <w:numId w:val="2"/>
        </w:numPr>
        <w:spacing w:before="40" w:after="40"/>
      </w:pPr>
      <w:r>
        <w:rPr>
          <w:rFonts w:ascii="Arial" w:cs="Arial" w:eastAsia="Arial" w:hAnsi="Arial"/>
          <w:sz w:val="22"/>
          <w:szCs w:val="22"/>
        </w:rPr>
        <w:t xml:space="preserve">Contractual and regulatory risk: compliance with client contracts, applicable legislation, and industry standards</w:t>
      </w:r>
    </w:p>
    <w:p>
      <w:pPr>
        <w:pStyle w:val="ListParagraph"/>
        <w:numPr>
          <w:ilvl w:val="0"/>
          <w:numId w:val="2"/>
        </w:numPr>
        <w:spacing w:before="40" w:after="40"/>
      </w:pPr>
      <w:r>
        <w:rPr>
          <w:rFonts w:ascii="Arial" w:cs="Arial" w:eastAsia="Arial" w:hAnsi="Arial"/>
          <w:sz w:val="22"/>
          <w:szCs w:val="22"/>
        </w:rPr>
        <w:t xml:space="preserve">Reputational risk: potential for harm to the organisation's reputation if the AI system performs unexpectedly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6.3  Approval Tiers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Risk Level</w:t>
            </w:r>
          </w:p>
        </w:tc>
        <w:tc>
          <w:tcPr>
            <w:tcW w:type="dxa" w:w="45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Criteria</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Approval Required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Low</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Public data only; no client data; routine automation; no consequential decisions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Compliance Officer</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Medium</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Internal data; some automation; limited client interaction; reversible outcomes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Technology Governance Council</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High</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Restricted/Confidential data; client environment interaction; consequential decisions; Agentic AI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Technology Governance Council + Executive sign-off</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AI System Register</w:t>
      </w:r>
    </w:p>
    <w:p>
      <w:pPr>
        <w:spacing w:before="80" w:after="80"/>
      </w:pPr>
      <w:r>
        <w:rPr>
          <w:rFonts w:ascii="Arial" w:cs="Arial" w:eastAsia="Arial" w:hAnsi="Arial"/>
          <w:sz w:val="22"/>
          <w:szCs w:val="22"/>
        </w:rPr>
        <w:t xml:space="preserve">The AI System Register is the single authoritative source for approved AI systems. It must record for each system: system name and description, AI System Owner, data classification approved for, risk rating, approval date and approving body, conditions of use, review date, and current status.</w:t>
      </w:r>
    </w:p>
    <w:p>
      <w:pPr>
        <w:spacing w:before="80" w:after="80"/>
      </w:pPr>
      <w:r>
        <w:rPr>
          <w:rFonts w:ascii="Arial" w:cs="Arial" w:eastAsia="Arial" w:hAnsi="Arial"/>
          <w:sz w:val="22"/>
          <w:szCs w:val="22"/>
        </w:rPr>
        <w:t xml:space="preserve">The AI Compliance Officer is responsible for maintaining the register. The register must be reviewed at least quarterly to confirm all systems remain within approved conditions and to remove decommissioned systems.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Lifecycle Management</w:t>
      </w:r>
    </w:p>
    <w:p>
      <w:pPr>
        <w:spacing w:before="80" w:after="80"/>
      </w:pPr>
      <w:r>
        <w:rPr>
          <w:rFonts w:ascii="Arial" w:cs="Arial" w:eastAsia="Arial" w:hAnsi="Arial"/>
          <w:sz w:val="22"/>
          <w:szCs w:val="22"/>
        </w:rPr>
        <w:t xml:space="preserve">All AI systems must be managed across their full lifecycle:</w:t>
      </w:r>
    </w:p>
    <w:p>
      <w:pPr>
        <w:pStyle w:val="ListParagraph"/>
        <w:numPr>
          <w:ilvl w:val="0"/>
          <w:numId w:val="2"/>
        </w:numPr>
        <w:spacing w:before="40" w:after="40"/>
      </w:pPr>
      <w:r>
        <w:rPr>
          <w:rFonts w:ascii="Arial" w:cs="Arial" w:eastAsia="Arial" w:hAnsi="Arial"/>
          <w:sz w:val="22"/>
          <w:szCs w:val="22"/>
        </w:rPr>
        <w:t xml:space="preserve">Procurement / development: risk assessment completed before deployment</w:t>
      </w:r>
    </w:p>
    <w:p>
      <w:pPr>
        <w:pStyle w:val="ListParagraph"/>
        <w:numPr>
          <w:ilvl w:val="0"/>
          <w:numId w:val="2"/>
        </w:numPr>
        <w:spacing w:before="40" w:after="40"/>
      </w:pPr>
      <w:r>
        <w:rPr>
          <w:rFonts w:ascii="Arial" w:cs="Arial" w:eastAsia="Arial" w:hAnsi="Arial"/>
          <w:sz w:val="22"/>
          <w:szCs w:val="22"/>
        </w:rPr>
        <w:t xml:space="preserve">Onboarding: registered in the AI System Register; relevant personnel trained</w:t>
      </w:r>
    </w:p>
    <w:p>
      <w:pPr>
        <w:pStyle w:val="ListParagraph"/>
        <w:numPr>
          <w:ilvl w:val="0"/>
          <w:numId w:val="2"/>
        </w:numPr>
        <w:spacing w:before="40" w:after="40"/>
      </w:pPr>
      <w:r>
        <w:rPr>
          <w:rFonts w:ascii="Arial" w:cs="Arial" w:eastAsia="Arial" w:hAnsi="Arial"/>
          <w:sz w:val="22"/>
          <w:szCs w:val="22"/>
        </w:rPr>
        <w:t xml:space="preserve">Operational use: monitored per the AI Audit Logging and Performance Monitoring Policy</w:t>
      </w:r>
    </w:p>
    <w:p>
      <w:pPr>
        <w:pStyle w:val="ListParagraph"/>
        <w:numPr>
          <w:ilvl w:val="0"/>
          <w:numId w:val="2"/>
        </w:numPr>
        <w:spacing w:before="40" w:after="40"/>
      </w:pPr>
      <w:r>
        <w:rPr>
          <w:rFonts w:ascii="Arial" w:cs="Arial" w:eastAsia="Arial" w:hAnsi="Arial"/>
          <w:sz w:val="22"/>
          <w:szCs w:val="22"/>
        </w:rPr>
        <w:t xml:space="preserve">Change management: material changes require re-assessment and re-approval</w:t>
      </w:r>
    </w:p>
    <w:p>
      <w:pPr>
        <w:pStyle w:val="ListParagraph"/>
        <w:numPr>
          <w:ilvl w:val="0"/>
          <w:numId w:val="2"/>
        </w:numPr>
        <w:spacing w:before="40" w:after="40"/>
      </w:pPr>
      <w:r>
        <w:rPr>
          <w:rFonts w:ascii="Arial" w:cs="Arial" w:eastAsia="Arial" w:hAnsi="Arial"/>
          <w:sz w:val="22"/>
          <w:szCs w:val="22"/>
        </w:rPr>
        <w:t xml:space="preserve">Decommissioning: data retained or deleted per the AI Data Governance Policy; register updated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Reporting and Escalation</w:t>
      </w:r>
    </w:p>
    <w:p>
      <w:pPr>
        <w:spacing w:before="80" w:after="80"/>
      </w:pPr>
      <w:r>
        <w:rPr>
          <w:rFonts w:ascii="Arial" w:cs="Arial" w:eastAsia="Arial" w:hAnsi="Arial"/>
          <w:sz w:val="22"/>
          <w:szCs w:val="22"/>
        </w:rPr>
        <w:t xml:space="preserve">The AI Compliance Officer must provide a quarterly governance report to executive management covering: number of active approved AI systems, new approvals and rejections in the period, open risk items and mitigation status, incidents and their resolution, and training compliance rates.</w:t>
      </w:r>
    </w:p>
    <w:p>
      <w:pPr>
        <w:spacing w:before="80" w:after="80"/>
      </w:pPr>
      <w:r>
        <w:rPr>
          <w:rFonts w:ascii="Arial" w:cs="Arial" w:eastAsia="Arial" w:hAnsi="Arial"/>
          <w:sz w:val="22"/>
          <w:szCs w:val="22"/>
        </w:rPr>
        <w:t xml:space="preserve">Material AI incidents must be escalated to executive management immediately and managed in accordance with the Security Event and Incident Response Policy.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AI Data Governance Policy (POL-AI-003)</w:t>
      </w:r>
    </w:p>
    <w:p>
      <w:pPr>
        <w:pStyle w:val="ListParagraph"/>
        <w:numPr>
          <w:ilvl w:val="0"/>
          <w:numId w:val="2"/>
        </w:numPr>
        <w:spacing w:before="40" w:after="40"/>
      </w:pPr>
      <w:r>
        <w:rPr>
          <w:rFonts w:ascii="Arial" w:cs="Arial" w:eastAsia="Arial" w:hAnsi="Arial"/>
          <w:sz w:val="22"/>
          <w:szCs w:val="22"/>
        </w:rPr>
        <w:t xml:space="preserve">AI Audit Logging and Performance Monitoring Policy (POL-AI-004)</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pStyle w:val="ListParagraph"/>
        <w:numPr>
          <w:ilvl w:val="0"/>
          <w:numId w:val="2"/>
        </w:numPr>
        <w:spacing w:before="40" w:after="40"/>
      </w:pPr>
      <w:r>
        <w:rPr>
          <w:rFonts w:ascii="Arial" w:cs="Arial" w:eastAsia="Arial" w:hAnsi="Arial"/>
          <w:sz w:val="22"/>
          <w:szCs w:val="22"/>
        </w:rPr>
        <w:t xml:space="preserve">Privacy Policy (POL-GEN-002)</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2026-03-30T13:53:31.060Z</dcterms:created>
  <dcterms:modified xsi:type="dcterms:W3CDTF">2026-03-30T13:53:31.060Z</dcterms:modified>
</cp:coreProperties>
</file>

<file path=docProps/custom.xml><?xml version="1.0" encoding="utf-8"?>
<Properties xmlns="http://schemas.openxmlformats.org/officeDocument/2006/custom-properties" xmlns:vt="http://schemas.openxmlformats.org/officeDocument/2006/docPropsVTypes"/>
</file>