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hd w:fill="1F3864" w:val="clear"/>
        <w:spacing w:before="0" w:after="0"/>
        <w:ind w:left="220" w:right="220"/>
      </w:pPr>
      <w:r>
        <w:rPr>
          <w:rFonts w:ascii="Arial" w:cs="Arial" w:eastAsia="Arial" w:hAnsi="Arial"/>
          <w:b/>
          <w:bCs/>
          <w:color w:val="FFFFFF"/>
          <w:sz w:val="48"/>
          <w:szCs w:val="48"/>
        </w:rPr>
        <w:t xml:space="preserve">PRIVACY POLICY</w:t>
      </w:r>
    </w:p>
    <w:p>
      <w:pPr>
        <w:spacing w:before="60" w:after="6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800"/>
        <w:gridCol w:w="6226"/>
      </w:tblGrid>
      <w:tr>
        <w:tc>
          <w:tcPr>
            <w:tcW w:type="dxa" w:w="2800"/>
            <w:tcBorders>
              <w:top w:val="single" w:color="CCCCCC" w:sz="1"/>
              <w:left w:val="single" w:color="CCCCCC" w:sz="1"/>
              <w:bottom w:val="single" w:color="CCCCCC" w:sz="1"/>
              <w:right w:val="single" w:color="CCCCCC" w:sz="1"/>
            </w:tcBorders>
            <w:shd w:fill="F2F2F2" w:val="clear"/>
            <w:tcMar>
              <w:top w:type="dxa" w:w="100"/>
              <w:left w:type="dxa" w:w="150"/>
              <w:bottom w:type="dxa" w:w="100"/>
              <w:right w:type="dxa" w:w="150"/>
            </w:tcMar>
          </w:tcPr>
          <w:p>
            <w:r>
              <w:rPr>
                <w:rFonts w:ascii="Arial" w:cs="Arial" w:eastAsia="Arial" w:hAnsi="Arial"/>
                <w:b/>
                <w:bCs/>
                <w:sz w:val="22"/>
                <w:szCs w:val="22"/>
              </w:rPr>
              <w:t xml:space="preserve">Document Title</w:t>
            </w:r>
          </w:p>
        </w:tc>
        <w:tc>
          <w:tcPr>
            <w:tcW w:type="dxa" w:w="6226"/>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sz w:val="22"/>
                <w:szCs w:val="22"/>
              </w:rPr>
              <w:t xml:space="preserve">Privacy Policy</w:t>
            </w:r>
          </w:p>
        </w:tc>
      </w:tr>
      <w:tr>
        <w:tc>
          <w:tcPr>
            <w:tcW w:type="dxa" w:w="2800"/>
            <w:tcBorders>
              <w:top w:val="single" w:color="CCCCCC" w:sz="1"/>
              <w:left w:val="single" w:color="CCCCCC" w:sz="1"/>
              <w:bottom w:val="single" w:color="CCCCCC" w:sz="1"/>
              <w:right w:val="single" w:color="CCCCCC" w:sz="1"/>
            </w:tcBorders>
            <w:shd w:fill="F2F2F2" w:val="clear"/>
            <w:tcMar>
              <w:top w:type="dxa" w:w="100"/>
              <w:left w:type="dxa" w:w="150"/>
              <w:bottom w:type="dxa" w:w="100"/>
              <w:right w:type="dxa" w:w="150"/>
            </w:tcMar>
          </w:tcPr>
          <w:p>
            <w:r>
              <w:rPr>
                <w:rFonts w:ascii="Arial" w:cs="Arial" w:eastAsia="Arial" w:hAnsi="Arial"/>
                <w:b/>
                <w:bCs/>
                <w:sz w:val="22"/>
                <w:szCs w:val="22"/>
              </w:rPr>
              <w:t xml:space="preserve">Document ID</w:t>
            </w:r>
          </w:p>
        </w:tc>
        <w:tc>
          <w:tcPr>
            <w:tcW w:type="dxa" w:w="6226"/>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sz w:val="22"/>
                <w:szCs w:val="22"/>
              </w:rPr>
              <w:t xml:space="preserve">POL-GEN-002</w:t>
            </w:r>
          </w:p>
        </w:tc>
      </w:tr>
      <w:tr>
        <w:tc>
          <w:tcPr>
            <w:tcW w:type="dxa" w:w="2800"/>
            <w:tcBorders>
              <w:top w:val="single" w:color="CCCCCC" w:sz="1"/>
              <w:left w:val="single" w:color="CCCCCC" w:sz="1"/>
              <w:bottom w:val="single" w:color="CCCCCC" w:sz="1"/>
              <w:right w:val="single" w:color="CCCCCC" w:sz="1"/>
            </w:tcBorders>
            <w:shd w:fill="F2F2F2" w:val="clear"/>
            <w:tcMar>
              <w:top w:type="dxa" w:w="100"/>
              <w:left w:type="dxa" w:w="150"/>
              <w:bottom w:type="dxa" w:w="100"/>
              <w:right w:type="dxa" w:w="150"/>
            </w:tcMar>
          </w:tcPr>
          <w:p>
            <w:r>
              <w:rPr>
                <w:rFonts w:ascii="Arial" w:cs="Arial" w:eastAsia="Arial" w:hAnsi="Arial"/>
                <w:b/>
                <w:bCs/>
                <w:sz w:val="22"/>
                <w:szCs w:val="22"/>
              </w:rPr>
              <w:t xml:space="preserve">Version</w:t>
            </w:r>
          </w:p>
        </w:tc>
        <w:tc>
          <w:tcPr>
            <w:tcW w:type="dxa" w:w="6226"/>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sz w:val="22"/>
                <w:szCs w:val="22"/>
              </w:rPr>
              <w:t xml:space="preserve">1.0</w:t>
            </w:r>
          </w:p>
        </w:tc>
      </w:tr>
      <w:tr>
        <w:tc>
          <w:tcPr>
            <w:tcW w:type="dxa" w:w="2800"/>
            <w:tcBorders>
              <w:top w:val="single" w:color="CCCCCC" w:sz="1"/>
              <w:left w:val="single" w:color="CCCCCC" w:sz="1"/>
              <w:bottom w:val="single" w:color="CCCCCC" w:sz="1"/>
              <w:right w:val="single" w:color="CCCCCC" w:sz="1"/>
            </w:tcBorders>
            <w:shd w:fill="F2F2F2" w:val="clear"/>
            <w:tcMar>
              <w:top w:type="dxa" w:w="100"/>
              <w:left w:type="dxa" w:w="150"/>
              <w:bottom w:type="dxa" w:w="100"/>
              <w:right w:type="dxa" w:w="150"/>
            </w:tcMar>
          </w:tcPr>
          <w:p>
            <w:r>
              <w:rPr>
                <w:rFonts w:ascii="Arial" w:cs="Arial" w:eastAsia="Arial" w:hAnsi="Arial"/>
                <w:b/>
                <w:bCs/>
                <w:sz w:val="22"/>
                <w:szCs w:val="22"/>
              </w:rPr>
              <w:t xml:space="preserve">Classification</w:t>
            </w:r>
          </w:p>
        </w:tc>
        <w:tc>
          <w:tcPr>
            <w:tcW w:type="dxa" w:w="6226"/>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sz w:val="22"/>
                <w:szCs w:val="22"/>
              </w:rPr>
              <w:t xml:space="preserve">Internal</w:t>
            </w:r>
          </w:p>
        </w:tc>
      </w:tr>
      <w:tr>
        <w:tc>
          <w:tcPr>
            <w:tcW w:type="dxa" w:w="2800"/>
            <w:tcBorders>
              <w:top w:val="single" w:color="CCCCCC" w:sz="1"/>
              <w:left w:val="single" w:color="CCCCCC" w:sz="1"/>
              <w:bottom w:val="single" w:color="CCCCCC" w:sz="1"/>
              <w:right w:val="single" w:color="CCCCCC" w:sz="1"/>
            </w:tcBorders>
            <w:shd w:fill="F2F2F2" w:val="clear"/>
            <w:tcMar>
              <w:top w:type="dxa" w:w="100"/>
              <w:left w:type="dxa" w:w="150"/>
              <w:bottom w:type="dxa" w:w="100"/>
              <w:right w:type="dxa" w:w="150"/>
            </w:tcMar>
          </w:tcPr>
          <w:p>
            <w:r>
              <w:rPr>
                <w:rFonts w:ascii="Arial" w:cs="Arial" w:eastAsia="Arial" w:hAnsi="Arial"/>
                <w:b/>
                <w:bCs/>
                <w:sz w:val="22"/>
                <w:szCs w:val="22"/>
              </w:rPr>
              <w:t xml:space="preserve">Document Owner</w:t>
            </w:r>
          </w:p>
        </w:tc>
        <w:tc>
          <w:tcPr>
            <w:tcW w:type="dxa" w:w="6226"/>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sz w:val="22"/>
                <w:szCs w:val="22"/>
              </w:rPr>
              <w:t xml:space="preserve">[Privacy Officer / Information Security Officer]</w:t>
            </w:r>
          </w:p>
        </w:tc>
      </w:tr>
      <w:tr>
        <w:tc>
          <w:tcPr>
            <w:tcW w:type="dxa" w:w="2800"/>
            <w:tcBorders>
              <w:top w:val="single" w:color="CCCCCC" w:sz="1"/>
              <w:left w:val="single" w:color="CCCCCC" w:sz="1"/>
              <w:bottom w:val="single" w:color="CCCCCC" w:sz="1"/>
              <w:right w:val="single" w:color="CCCCCC" w:sz="1"/>
            </w:tcBorders>
            <w:shd w:fill="F2F2F2" w:val="clear"/>
            <w:tcMar>
              <w:top w:type="dxa" w:w="100"/>
              <w:left w:type="dxa" w:w="150"/>
              <w:bottom w:type="dxa" w:w="100"/>
              <w:right w:type="dxa" w:w="150"/>
            </w:tcMar>
          </w:tcPr>
          <w:p>
            <w:r>
              <w:rPr>
                <w:rFonts w:ascii="Arial" w:cs="Arial" w:eastAsia="Arial" w:hAnsi="Arial"/>
                <w:b/>
                <w:bCs/>
                <w:sz w:val="22"/>
                <w:szCs w:val="22"/>
              </w:rPr>
              <w:t xml:space="preserve">Approved By</w:t>
            </w:r>
          </w:p>
        </w:tc>
        <w:tc>
          <w:tcPr>
            <w:tcW w:type="dxa" w:w="6226"/>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sz w:val="22"/>
                <w:szCs w:val="22"/>
              </w:rPr>
              <w:t xml:space="preserve">[CEO / Executive Management]</w:t>
            </w:r>
          </w:p>
        </w:tc>
      </w:tr>
      <w:tr>
        <w:tc>
          <w:tcPr>
            <w:tcW w:type="dxa" w:w="2800"/>
            <w:tcBorders>
              <w:top w:val="single" w:color="CCCCCC" w:sz="1"/>
              <w:left w:val="single" w:color="CCCCCC" w:sz="1"/>
              <w:bottom w:val="single" w:color="CCCCCC" w:sz="1"/>
              <w:right w:val="single" w:color="CCCCCC" w:sz="1"/>
            </w:tcBorders>
            <w:shd w:fill="F2F2F2" w:val="clear"/>
            <w:tcMar>
              <w:top w:type="dxa" w:w="100"/>
              <w:left w:type="dxa" w:w="150"/>
              <w:bottom w:type="dxa" w:w="100"/>
              <w:right w:type="dxa" w:w="150"/>
            </w:tcMar>
          </w:tcPr>
          <w:p>
            <w:r>
              <w:rPr>
                <w:rFonts w:ascii="Arial" w:cs="Arial" w:eastAsia="Arial" w:hAnsi="Arial"/>
                <w:b/>
                <w:bCs/>
                <w:sz w:val="22"/>
                <w:szCs w:val="22"/>
              </w:rPr>
              <w:t xml:space="preserve">Effective Date</w:t>
            </w:r>
          </w:p>
        </w:tc>
        <w:tc>
          <w:tcPr>
            <w:tcW w:type="dxa" w:w="6226"/>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sz w:val="22"/>
                <w:szCs w:val="22"/>
              </w:rPr>
              <w:t xml:space="preserve">[DD/MM/YYYY]</w:t>
            </w:r>
          </w:p>
        </w:tc>
      </w:tr>
      <w:tr>
        <w:tc>
          <w:tcPr>
            <w:tcW w:type="dxa" w:w="2800"/>
            <w:tcBorders>
              <w:top w:val="single" w:color="CCCCCC" w:sz="1"/>
              <w:left w:val="single" w:color="CCCCCC" w:sz="1"/>
              <w:bottom w:val="single" w:color="CCCCCC" w:sz="1"/>
              <w:right w:val="single" w:color="CCCCCC" w:sz="1"/>
            </w:tcBorders>
            <w:shd w:fill="F2F2F2" w:val="clear"/>
            <w:tcMar>
              <w:top w:type="dxa" w:w="100"/>
              <w:left w:type="dxa" w:w="150"/>
              <w:bottom w:type="dxa" w:w="100"/>
              <w:right w:type="dxa" w:w="150"/>
            </w:tcMar>
          </w:tcPr>
          <w:p>
            <w:r>
              <w:rPr>
                <w:rFonts w:ascii="Arial" w:cs="Arial" w:eastAsia="Arial" w:hAnsi="Arial"/>
                <w:b/>
                <w:bCs/>
                <w:sz w:val="22"/>
                <w:szCs w:val="22"/>
              </w:rPr>
              <w:t xml:space="preserve">Review Date</w:t>
            </w:r>
          </w:p>
        </w:tc>
        <w:tc>
          <w:tcPr>
            <w:tcW w:type="dxa" w:w="6226"/>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sz w:val="22"/>
                <w:szCs w:val="22"/>
              </w:rPr>
              <w:t xml:space="preserve">[DD/MM/YYYY]</w:t>
            </w:r>
          </w:p>
        </w:tc>
      </w:tr>
      <w:tr>
        <w:tc>
          <w:tcPr>
            <w:tcW w:type="dxa" w:w="2800"/>
            <w:tcBorders>
              <w:top w:val="single" w:color="CCCCCC" w:sz="1"/>
              <w:left w:val="single" w:color="CCCCCC" w:sz="1"/>
              <w:bottom w:val="single" w:color="CCCCCC" w:sz="1"/>
              <w:right w:val="single" w:color="CCCCCC" w:sz="1"/>
            </w:tcBorders>
            <w:shd w:fill="F2F2F2" w:val="clear"/>
            <w:tcMar>
              <w:top w:type="dxa" w:w="100"/>
              <w:left w:type="dxa" w:w="150"/>
              <w:bottom w:type="dxa" w:w="100"/>
              <w:right w:type="dxa" w:w="150"/>
            </w:tcMar>
          </w:tcPr>
          <w:p>
            <w:r>
              <w:rPr>
                <w:rFonts w:ascii="Arial" w:cs="Arial" w:eastAsia="Arial" w:hAnsi="Arial"/>
                <w:b/>
                <w:bCs/>
                <w:sz w:val="22"/>
                <w:szCs w:val="22"/>
              </w:rPr>
              <w:t xml:space="preserve">Status</w:t>
            </w:r>
          </w:p>
        </w:tc>
        <w:tc>
          <w:tcPr>
            <w:tcW w:type="dxa" w:w="6226"/>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sz w:val="22"/>
                <w:szCs w:val="22"/>
              </w:rPr>
              <w:t xml:space="preserve">Active</w:t>
            </w:r>
          </w:p>
        </w:tc>
      </w:tr>
    </w:tbl>
    <w:p>
      <w:pPr>
        <w:spacing w:before="60" w:after="6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CCCCCC" w:sz="1"/>
              <w:left w:val="single" w:color="CCCCCC" w:sz="1"/>
              <w:bottom w:val="single" w:color="CCCCCC" w:sz="1"/>
              <w:right w:val="single" w:color="CCCCCC" w:sz="1"/>
            </w:tcBorders>
            <w:shd w:fill="D6E4F7" w:val="clear"/>
            <w:tcMar>
              <w:top w:type="dxa" w:w="100"/>
              <w:left w:type="dxa" w:w="150"/>
              <w:bottom w:type="dxa" w:w="100"/>
              <w:right w:type="dxa" w:w="150"/>
            </w:tcMar>
          </w:tcPr>
          <w:p>
            <w:r>
              <w:rPr>
                <w:rFonts w:ascii="Arial" w:cs="Arial" w:eastAsia="Arial" w:hAnsi="Arial"/>
                <w:b/>
                <w:bCs/>
                <w:color w:val="1F3864"/>
                <w:sz w:val="22"/>
                <w:szCs w:val="22"/>
              </w:rPr>
              <w:t xml:space="preserve">ISO/IEC 27001:2022 — Annex A Controls Referenced</w:t>
            </w:r>
          </w:p>
          <w:p>
            <w:r>
              <w:rPr>
                <w:rFonts w:ascii="Arial" w:cs="Arial" w:eastAsia="Arial" w:hAnsi="Arial"/>
                <w:sz w:val="22"/>
                <w:szCs w:val="22"/>
              </w:rPr>
              <w:t xml:space="preserve">A.5.34 — Privacy and protection of PII</w:t>
            </w:r>
          </w:p>
        </w:tc>
      </w:tr>
    </w:tbl>
    <w:p>
      <w:pPr>
        <w:spacing w:before="60" w:after="60"/>
      </w:pPr>
      <w:r>
        <w:t xml:space="preserve"/>
      </w:r>
    </w:p>
    <w:p>
      <w:pPr>
        <w:pStyle w:val="Heading1"/>
        <w:pBdr>
          <w:bottom w:val="single" w:color="2E5496" w:sz="6" w:space="1"/>
        </w:pBdr>
        <w:spacing w:before="280" w:after="140"/>
      </w:pPr>
      <w:r>
        <w:rPr>
          <w:rFonts w:ascii="Arial" w:cs="Arial" w:eastAsia="Arial" w:hAnsi="Arial"/>
          <w:b/>
          <w:bCs/>
          <w:color w:val="1F3864"/>
          <w:sz w:val="32"/>
          <w:szCs w:val="32"/>
        </w:rPr>
        <w:t xml:space="preserve">1.  Overview</w:t>
      </w:r>
    </w:p>
    <w:p>
      <w:pPr>
        <w:spacing w:before="80" w:after="80"/>
      </w:pPr>
      <w:r>
        <w:rPr>
          <w:rFonts w:ascii="Arial" w:cs="Arial" w:eastAsia="Arial" w:hAnsi="Arial"/>
          <w:sz w:val="22"/>
          <w:szCs w:val="22"/>
        </w:rPr>
        <w:t xml:space="preserve">The organisation is committed to protecting the privacy of individuals whose personal information it collects, holds, uses, or discloses in the course of its business activities. This policy establishes the organisation's approach to privacy and sets out the obligations of all personnel in handling personal information.</w:t>
      </w:r>
    </w:p>
    <w:p>
      <w:pPr>
        <w:spacing w:before="60" w:after="60"/>
      </w:pPr>
      <w:r>
        <w:t xml:space="preserve"/>
      </w:r>
    </w:p>
    <w:p>
      <w:pPr>
        <w:pStyle w:val="Heading1"/>
        <w:pBdr>
          <w:bottom w:val="single" w:color="2E5496" w:sz="6" w:space="1"/>
        </w:pBdr>
        <w:spacing w:before="280" w:after="140"/>
      </w:pPr>
      <w:r>
        <w:rPr>
          <w:rFonts w:ascii="Arial" w:cs="Arial" w:eastAsia="Arial" w:hAnsi="Arial"/>
          <w:b/>
          <w:bCs/>
          <w:color w:val="1F3864"/>
          <w:sz w:val="32"/>
          <w:szCs w:val="32"/>
        </w:rPr>
        <w:t xml:space="preserve">2.  Purpose</w:t>
      </w:r>
    </w:p>
    <w:p>
      <w:pPr>
        <w:spacing w:before="80" w:after="80"/>
      </w:pPr>
      <w:r>
        <w:rPr>
          <w:rFonts w:ascii="Arial" w:cs="Arial" w:eastAsia="Arial" w:hAnsi="Arial"/>
          <w:sz w:val="22"/>
          <w:szCs w:val="22"/>
        </w:rPr>
        <w:t xml:space="preserve">This policy defines how the organisation collects, uses, holds, and discloses personal information in compliance with the Privacy Act 1988 (Cth), the Australian Privacy Principles (APPs), and other applicable privacy legislation.</w:t>
      </w:r>
    </w:p>
    <w:p>
      <w:pPr>
        <w:spacing w:before="60" w:after="60"/>
      </w:pPr>
      <w:r>
        <w:t xml:space="preserve"/>
      </w:r>
    </w:p>
    <w:p>
      <w:pPr>
        <w:pStyle w:val="Heading1"/>
        <w:pBdr>
          <w:bottom w:val="single" w:color="2E5496" w:sz="6" w:space="1"/>
        </w:pBdr>
        <w:spacing w:before="280" w:after="140"/>
      </w:pPr>
      <w:r>
        <w:rPr>
          <w:rFonts w:ascii="Arial" w:cs="Arial" w:eastAsia="Arial" w:hAnsi="Arial"/>
          <w:b/>
          <w:bCs/>
          <w:color w:val="1F3864"/>
          <w:sz w:val="32"/>
          <w:szCs w:val="32"/>
        </w:rPr>
        <w:t xml:space="preserve">3.  Scope</w:t>
      </w:r>
    </w:p>
    <w:p>
      <w:pPr>
        <w:spacing w:before="80" w:after="80"/>
      </w:pPr>
      <w:r>
        <w:rPr>
          <w:rFonts w:ascii="Arial" w:cs="Arial" w:eastAsia="Arial" w:hAnsi="Arial"/>
          <w:sz w:val="22"/>
          <w:szCs w:val="22"/>
        </w:rPr>
        <w:t xml:space="preserve">This policy applies to all employees, contractors, and other personnel who collect, access, use, store, or disclose personal information on behalf of the organisation.</w:t>
      </w:r>
    </w:p>
    <w:p>
      <w:pPr>
        <w:spacing w:before="60" w:after="60"/>
      </w:pPr>
      <w:r>
        <w:t xml:space="preserve"/>
      </w:r>
    </w:p>
    <w:p>
      <w:pPr>
        <w:pStyle w:val="Heading1"/>
        <w:pBdr>
          <w:bottom w:val="single" w:color="2E5496" w:sz="6" w:space="1"/>
        </w:pBdr>
        <w:spacing w:before="280" w:after="140"/>
      </w:pPr>
      <w:r>
        <w:rPr>
          <w:rFonts w:ascii="Arial" w:cs="Arial" w:eastAsia="Arial" w:hAnsi="Arial"/>
          <w:b/>
          <w:bCs/>
          <w:color w:val="1F3864"/>
          <w:sz w:val="32"/>
          <w:szCs w:val="32"/>
        </w:rPr>
        <w:t xml:space="preserve">4.  Terms and Definitions</w:t>
      </w:r>
    </w:p>
    <w:p>
      <w:pPr>
        <w:spacing w:before="60" w:after="6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800"/>
        <w:gridCol w:w="6226"/>
      </w:tblGrid>
      <w:tr>
        <w:tc>
          <w:tcPr>
            <w:tcW w:type="dxa" w:w="2800"/>
            <w:tcBorders>
              <w:top w:val="single" w:color="CCCCCC" w:sz="1"/>
              <w:left w:val="single" w:color="CCCCCC" w:sz="1"/>
              <w:bottom w:val="single" w:color="CCCCCC" w:sz="1"/>
              <w:right w:val="single" w:color="CCCCCC" w:sz="1"/>
            </w:tcBorders>
            <w:shd w:fill="1F3864" w:val="clear"/>
            <w:tcMar>
              <w:top w:type="dxa" w:w="100"/>
              <w:left w:type="dxa" w:w="150"/>
              <w:bottom w:type="dxa" w:w="100"/>
              <w:right w:type="dxa" w:w="150"/>
            </w:tcMar>
          </w:tcPr>
          <w:p>
            <w:r>
              <w:rPr>
                <w:rFonts w:ascii="Arial" w:cs="Arial" w:eastAsia="Arial" w:hAnsi="Arial"/>
                <w:b/>
                <w:bCs/>
                <w:color w:val="FFFFFF"/>
                <w:sz w:val="22"/>
                <w:szCs w:val="22"/>
              </w:rPr>
              <w:t xml:space="preserve">Term</w:t>
            </w:r>
          </w:p>
        </w:tc>
        <w:tc>
          <w:tcPr>
            <w:tcW w:type="dxa" w:w="6226"/>
            <w:tcBorders>
              <w:top w:val="single" w:color="CCCCCC" w:sz="1"/>
              <w:left w:val="single" w:color="CCCCCC" w:sz="1"/>
              <w:bottom w:val="single" w:color="CCCCCC" w:sz="1"/>
              <w:right w:val="single" w:color="CCCCCC" w:sz="1"/>
            </w:tcBorders>
            <w:shd w:fill="1F3864" w:val="clear"/>
            <w:tcMar>
              <w:top w:type="dxa" w:w="100"/>
              <w:left w:type="dxa" w:w="150"/>
              <w:bottom w:type="dxa" w:w="100"/>
              <w:right w:type="dxa" w:w="150"/>
            </w:tcMar>
          </w:tcPr>
          <w:p>
            <w:r>
              <w:rPr>
                <w:rFonts w:ascii="Arial" w:cs="Arial" w:eastAsia="Arial" w:hAnsi="Arial"/>
                <w:b/>
                <w:bCs/>
                <w:color w:val="FFFFFF"/>
                <w:sz w:val="22"/>
                <w:szCs w:val="22"/>
              </w:rPr>
              <w:t xml:space="preserve">Definition</w:t>
            </w:r>
          </w:p>
        </w:tc>
      </w:tr>
      <w:tr>
        <w:tc>
          <w:tcPr>
            <w:tcW w:type="dxa" w:w="28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sz w:val="22"/>
                <w:szCs w:val="22"/>
              </w:rPr>
              <w:t xml:space="preserve">Personal Information</w:t>
            </w:r>
          </w:p>
        </w:tc>
        <w:tc>
          <w:tcPr>
            <w:tcW w:type="dxa" w:w="6226"/>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sz w:val="22"/>
                <w:szCs w:val="22"/>
              </w:rPr>
              <w:t xml:space="preserve">Information or an opinion about an identified individual, or an individual who is reasonably identifiable.</w:t>
            </w:r>
          </w:p>
        </w:tc>
      </w:tr>
      <w:tr>
        <w:tc>
          <w:tcPr>
            <w:tcW w:type="dxa" w:w="2800"/>
            <w:tcBorders>
              <w:top w:val="single" w:color="CCCCCC" w:sz="1"/>
              <w:left w:val="single" w:color="CCCCCC" w:sz="1"/>
              <w:bottom w:val="single" w:color="CCCCCC" w:sz="1"/>
              <w:right w:val="single" w:color="CCCCCC" w:sz="1"/>
            </w:tcBorders>
            <w:shd w:fill="F2F2F2" w:val="clear"/>
            <w:tcMar>
              <w:top w:type="dxa" w:w="100"/>
              <w:left w:type="dxa" w:w="150"/>
              <w:bottom w:type="dxa" w:w="100"/>
              <w:right w:type="dxa" w:w="150"/>
            </w:tcMar>
          </w:tcPr>
          <w:p>
            <w:r>
              <w:rPr>
                <w:rFonts w:ascii="Arial" w:cs="Arial" w:eastAsia="Arial" w:hAnsi="Arial"/>
                <w:sz w:val="22"/>
                <w:szCs w:val="22"/>
              </w:rPr>
              <w:t xml:space="preserve">Sensitive Information</w:t>
            </w:r>
          </w:p>
        </w:tc>
        <w:tc>
          <w:tcPr>
            <w:tcW w:type="dxa" w:w="6226"/>
            <w:tcBorders>
              <w:top w:val="single" w:color="CCCCCC" w:sz="1"/>
              <w:left w:val="single" w:color="CCCCCC" w:sz="1"/>
              <w:bottom w:val="single" w:color="CCCCCC" w:sz="1"/>
              <w:right w:val="single" w:color="CCCCCC" w:sz="1"/>
            </w:tcBorders>
            <w:shd w:fill="F2F2F2" w:val="clear"/>
            <w:tcMar>
              <w:top w:type="dxa" w:w="100"/>
              <w:left w:type="dxa" w:w="150"/>
              <w:bottom w:type="dxa" w:w="100"/>
              <w:right w:type="dxa" w:w="150"/>
            </w:tcMar>
          </w:tcPr>
          <w:p>
            <w:r>
              <w:rPr>
                <w:rFonts w:ascii="Arial" w:cs="Arial" w:eastAsia="Arial" w:hAnsi="Arial"/>
                <w:sz w:val="22"/>
                <w:szCs w:val="22"/>
              </w:rPr>
              <w:t xml:space="preserve">A subset of personal information that includes health information, racial or ethnic origin, political opinions, religious beliefs, sexual orientation, criminal record, and biometric data.</w:t>
            </w:r>
          </w:p>
        </w:tc>
      </w:tr>
      <w:tr>
        <w:tc>
          <w:tcPr>
            <w:tcW w:type="dxa" w:w="28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sz w:val="22"/>
                <w:szCs w:val="22"/>
              </w:rPr>
              <w:t xml:space="preserve">Australian Privacy Principles (APPs)</w:t>
            </w:r>
          </w:p>
        </w:tc>
        <w:tc>
          <w:tcPr>
            <w:tcW w:type="dxa" w:w="6226"/>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sz w:val="22"/>
                <w:szCs w:val="22"/>
              </w:rPr>
              <w:t xml:space="preserve">The 13 principles set out in the Privacy Act 1988 (Cth) that govern how APP entities must handle personal information.</w:t>
            </w:r>
          </w:p>
        </w:tc>
      </w:tr>
      <w:tr>
        <w:tc>
          <w:tcPr>
            <w:tcW w:type="dxa" w:w="2800"/>
            <w:tcBorders>
              <w:top w:val="single" w:color="CCCCCC" w:sz="1"/>
              <w:left w:val="single" w:color="CCCCCC" w:sz="1"/>
              <w:bottom w:val="single" w:color="CCCCCC" w:sz="1"/>
              <w:right w:val="single" w:color="CCCCCC" w:sz="1"/>
            </w:tcBorders>
            <w:shd w:fill="F2F2F2" w:val="clear"/>
            <w:tcMar>
              <w:top w:type="dxa" w:w="100"/>
              <w:left w:type="dxa" w:w="150"/>
              <w:bottom w:type="dxa" w:w="100"/>
              <w:right w:type="dxa" w:w="150"/>
            </w:tcMar>
          </w:tcPr>
          <w:p>
            <w:r>
              <w:rPr>
                <w:rFonts w:ascii="Arial" w:cs="Arial" w:eastAsia="Arial" w:hAnsi="Arial"/>
                <w:sz w:val="22"/>
                <w:szCs w:val="22"/>
              </w:rPr>
              <w:t xml:space="preserve">Privacy Impact Assessment (PIA)</w:t>
            </w:r>
          </w:p>
        </w:tc>
        <w:tc>
          <w:tcPr>
            <w:tcW w:type="dxa" w:w="6226"/>
            <w:tcBorders>
              <w:top w:val="single" w:color="CCCCCC" w:sz="1"/>
              <w:left w:val="single" w:color="CCCCCC" w:sz="1"/>
              <w:bottom w:val="single" w:color="CCCCCC" w:sz="1"/>
              <w:right w:val="single" w:color="CCCCCC" w:sz="1"/>
            </w:tcBorders>
            <w:shd w:fill="F2F2F2" w:val="clear"/>
            <w:tcMar>
              <w:top w:type="dxa" w:w="100"/>
              <w:left w:type="dxa" w:w="150"/>
              <w:bottom w:type="dxa" w:w="100"/>
              <w:right w:type="dxa" w:w="150"/>
            </w:tcMar>
          </w:tcPr>
          <w:p>
            <w:r>
              <w:rPr>
                <w:rFonts w:ascii="Arial" w:cs="Arial" w:eastAsia="Arial" w:hAnsi="Arial"/>
                <w:sz w:val="22"/>
                <w:szCs w:val="22"/>
              </w:rPr>
              <w:t xml:space="preserve">A structured process for identifying and addressing privacy risks associated with a new or changed system, process, or activity.</w:t>
            </w:r>
          </w:p>
        </w:tc>
      </w:tr>
      <w:tr>
        <w:tc>
          <w:tcPr>
            <w:tcW w:type="dxa" w:w="28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sz w:val="22"/>
                <w:szCs w:val="22"/>
              </w:rPr>
              <w:t xml:space="preserve">Notifiable Data Breach (NDB)</w:t>
            </w:r>
          </w:p>
        </w:tc>
        <w:tc>
          <w:tcPr>
            <w:tcW w:type="dxa" w:w="6226"/>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sz w:val="22"/>
                <w:szCs w:val="22"/>
              </w:rPr>
              <w:t xml:space="preserve">A data breach likely to result in serious harm to any of the individuals whose information was involved, which must be notified under the Privacy Act.</w:t>
            </w:r>
          </w:p>
        </w:tc>
      </w:tr>
    </w:tbl>
    <w:p>
      <w:pPr>
        <w:spacing w:before="60" w:after="60"/>
      </w:pPr>
      <w:r>
        <w:t xml:space="preserve"/>
      </w:r>
    </w:p>
    <w:p>
      <w:pPr>
        <w:pStyle w:val="Heading1"/>
        <w:pBdr>
          <w:bottom w:val="single" w:color="2E5496" w:sz="6" w:space="1"/>
        </w:pBdr>
        <w:spacing w:before="280" w:after="140"/>
      </w:pPr>
      <w:r>
        <w:rPr>
          <w:rFonts w:ascii="Arial" w:cs="Arial" w:eastAsia="Arial" w:hAnsi="Arial"/>
          <w:b/>
          <w:bCs/>
          <w:color w:val="1F3864"/>
          <w:sz w:val="32"/>
          <w:szCs w:val="32"/>
        </w:rPr>
        <w:t xml:space="preserve">5.  Policy</w:t>
      </w:r>
    </w:p>
    <w:p>
      <w:pPr>
        <w:pStyle w:val="Heading2"/>
        <w:spacing w:before="180" w:after="80"/>
      </w:pPr>
      <w:r>
        <w:rPr>
          <w:rFonts w:ascii="Arial" w:cs="Arial" w:eastAsia="Arial" w:hAnsi="Arial"/>
          <w:b/>
          <w:bCs/>
          <w:color w:val="2E5496"/>
          <w:sz w:val="26"/>
          <w:szCs w:val="26"/>
        </w:rPr>
        <w:t xml:space="preserve">5.1  Compliance with the Australian Privacy Principles</w:t>
      </w:r>
    </w:p>
    <w:p>
      <w:pPr>
        <w:spacing w:before="80" w:after="80"/>
      </w:pPr>
      <w:r>
        <w:rPr>
          <w:rFonts w:ascii="Arial" w:cs="Arial" w:eastAsia="Arial" w:hAnsi="Arial"/>
          <w:sz w:val="22"/>
          <w:szCs w:val="22"/>
        </w:rPr>
        <w:t xml:space="preserve">The organisation must comply with all 13 Australian Privacy Principles. Key obligations include:</w:t>
      </w:r>
    </w:p>
    <w:p>
      <w:pPr>
        <w:pStyle w:val="ListParagraph"/>
        <w:numPr>
          <w:ilvl w:val="0"/>
          <w:numId w:val="2"/>
        </w:numPr>
        <w:spacing w:before="40" w:after="40"/>
      </w:pPr>
      <w:r>
        <w:rPr>
          <w:rFonts w:ascii="Arial" w:cs="Arial" w:eastAsia="Arial" w:hAnsi="Arial"/>
          <w:sz w:val="22"/>
          <w:szCs w:val="22"/>
        </w:rPr>
        <w:t xml:space="preserve">APP 1: Having a clear, up-to-date privacy policy and managing personal information openly and transparently.</w:t>
      </w:r>
    </w:p>
    <w:p>
      <w:pPr>
        <w:pStyle w:val="ListParagraph"/>
        <w:numPr>
          <w:ilvl w:val="0"/>
          <w:numId w:val="2"/>
        </w:numPr>
        <w:spacing w:before="40" w:after="40"/>
      </w:pPr>
      <w:r>
        <w:rPr>
          <w:rFonts w:ascii="Arial" w:cs="Arial" w:eastAsia="Arial" w:hAnsi="Arial"/>
          <w:sz w:val="22"/>
          <w:szCs w:val="22"/>
        </w:rPr>
        <w:t xml:space="preserve">APP 3: Only collecting personal information that is reasonably necessary for the organisation's functions or activities.</w:t>
      </w:r>
    </w:p>
    <w:p>
      <w:pPr>
        <w:pStyle w:val="ListParagraph"/>
        <w:numPr>
          <w:ilvl w:val="0"/>
          <w:numId w:val="2"/>
        </w:numPr>
        <w:spacing w:before="40" w:after="40"/>
      </w:pPr>
      <w:r>
        <w:rPr>
          <w:rFonts w:ascii="Arial" w:cs="Arial" w:eastAsia="Arial" w:hAnsi="Arial"/>
          <w:sz w:val="22"/>
          <w:szCs w:val="22"/>
        </w:rPr>
        <w:t xml:space="preserve">APP 5: Notifying individuals at or before the time of collection of the purposes of collection.</w:t>
      </w:r>
    </w:p>
    <w:p>
      <w:pPr>
        <w:pStyle w:val="ListParagraph"/>
        <w:numPr>
          <w:ilvl w:val="0"/>
          <w:numId w:val="2"/>
        </w:numPr>
        <w:spacing w:before="40" w:after="40"/>
      </w:pPr>
      <w:r>
        <w:rPr>
          <w:rFonts w:ascii="Arial" w:cs="Arial" w:eastAsia="Arial" w:hAnsi="Arial"/>
          <w:sz w:val="22"/>
          <w:szCs w:val="22"/>
        </w:rPr>
        <w:t xml:space="preserve">APP 6: Only using or disclosing personal information for the primary purpose of collection, or for secondary purposes permitted under the APPs.</w:t>
      </w:r>
    </w:p>
    <w:p>
      <w:pPr>
        <w:pStyle w:val="ListParagraph"/>
        <w:numPr>
          <w:ilvl w:val="0"/>
          <w:numId w:val="2"/>
        </w:numPr>
        <w:spacing w:before="40" w:after="40"/>
      </w:pPr>
      <w:r>
        <w:rPr>
          <w:rFonts w:ascii="Arial" w:cs="Arial" w:eastAsia="Arial" w:hAnsi="Arial"/>
          <w:sz w:val="22"/>
          <w:szCs w:val="22"/>
        </w:rPr>
        <w:t xml:space="preserve">APP 11: Taking reasonable steps to protect personal information from misuse, interference, loss, and unauthorised access, modification, or disclosure.</w:t>
      </w:r>
    </w:p>
    <w:p>
      <w:pPr>
        <w:pStyle w:val="ListParagraph"/>
        <w:numPr>
          <w:ilvl w:val="0"/>
          <w:numId w:val="2"/>
        </w:numPr>
        <w:spacing w:before="40" w:after="40"/>
      </w:pPr>
      <w:r>
        <w:rPr>
          <w:rFonts w:ascii="Arial" w:cs="Arial" w:eastAsia="Arial" w:hAnsi="Arial"/>
          <w:sz w:val="22"/>
          <w:szCs w:val="22"/>
        </w:rPr>
        <w:t xml:space="preserve">APP 12: Giving individuals access to their personal information on request.</w:t>
      </w:r>
    </w:p>
    <w:p>
      <w:pPr>
        <w:pStyle w:val="ListParagraph"/>
        <w:numPr>
          <w:ilvl w:val="0"/>
          <w:numId w:val="2"/>
        </w:numPr>
        <w:spacing w:before="40" w:after="40"/>
      </w:pPr>
      <w:r>
        <w:rPr>
          <w:rFonts w:ascii="Arial" w:cs="Arial" w:eastAsia="Arial" w:hAnsi="Arial"/>
          <w:sz w:val="22"/>
          <w:szCs w:val="22"/>
        </w:rPr>
        <w:t xml:space="preserve">APP 13: Correcting personal information that is inaccurate, out-of-date, incomplete, irrelevant, or misleading.</w:t>
      </w:r>
    </w:p>
    <w:p>
      <w:pPr>
        <w:spacing w:before="60" w:after="60"/>
      </w:pPr>
      <w:r>
        <w:t xml:space="preserve"/>
      </w:r>
    </w:p>
    <w:p>
      <w:pPr>
        <w:pStyle w:val="Heading2"/>
        <w:spacing w:before="180" w:after="80"/>
      </w:pPr>
      <w:r>
        <w:rPr>
          <w:rFonts w:ascii="Arial" w:cs="Arial" w:eastAsia="Arial" w:hAnsi="Arial"/>
          <w:b/>
          <w:bCs/>
          <w:color w:val="2E5496"/>
          <w:sz w:val="26"/>
          <w:szCs w:val="26"/>
        </w:rPr>
        <w:t xml:space="preserve">5.2  Collection of Personal Information</w:t>
      </w:r>
    </w:p>
    <w:p>
      <w:pPr>
        <w:spacing w:before="80" w:after="80"/>
      </w:pPr>
      <w:r>
        <w:rPr>
          <w:rFonts w:ascii="Arial" w:cs="Arial" w:eastAsia="Arial" w:hAnsi="Arial"/>
          <w:sz w:val="22"/>
          <w:szCs w:val="22"/>
        </w:rPr>
        <w:t xml:space="preserve">Personal information must only be collected where it is reasonably necessary for a legitimate business function. Collection must be lawful, fair, and not excessively intrusive. Where practicable, personal information must be collected directly from the individual. At or before collection, individuals must be informed of: the organisation's identity, the purposes of collection, whether disclosure to third parties is intended, and their rights of access and correction.</w:t>
      </w:r>
    </w:p>
    <w:p>
      <w:pPr>
        <w:spacing w:before="60" w:after="60"/>
      </w:pPr>
      <w:r>
        <w:t xml:space="preserve"/>
      </w:r>
    </w:p>
    <w:p>
      <w:pPr>
        <w:pStyle w:val="Heading2"/>
        <w:spacing w:before="180" w:after="80"/>
      </w:pPr>
      <w:r>
        <w:rPr>
          <w:rFonts w:ascii="Arial" w:cs="Arial" w:eastAsia="Arial" w:hAnsi="Arial"/>
          <w:b/>
          <w:bCs/>
          <w:color w:val="2E5496"/>
          <w:sz w:val="26"/>
          <w:szCs w:val="26"/>
        </w:rPr>
        <w:t xml:space="preserve">5.3  Use and Disclosure</w:t>
      </w:r>
    </w:p>
    <w:p>
      <w:pPr>
        <w:spacing w:before="80" w:after="80"/>
      </w:pPr>
      <w:r>
        <w:rPr>
          <w:rFonts w:ascii="Arial" w:cs="Arial" w:eastAsia="Arial" w:hAnsi="Arial"/>
          <w:sz w:val="22"/>
          <w:szCs w:val="22"/>
        </w:rPr>
        <w:t xml:space="preserve">Personal information must only be used or disclosed for the primary purpose for which it was collected, unless a permitted secondary purpose applies, the individual has consented, or disclosure is required or authorised by law. Client data collected in the course of providing managed services must be used only for the purposes defined in the relevant service agreement.</w:t>
      </w:r>
    </w:p>
    <w:p>
      <w:pPr>
        <w:spacing w:before="60" w:after="60"/>
      </w:pPr>
      <w:r>
        <w:t xml:space="preserve"/>
      </w:r>
    </w:p>
    <w:p>
      <w:pPr>
        <w:pStyle w:val="Heading2"/>
        <w:spacing w:before="180" w:after="80"/>
      </w:pPr>
      <w:r>
        <w:rPr>
          <w:rFonts w:ascii="Arial" w:cs="Arial" w:eastAsia="Arial" w:hAnsi="Arial"/>
          <w:b/>
          <w:bCs/>
          <w:color w:val="2E5496"/>
          <w:sz w:val="26"/>
          <w:szCs w:val="26"/>
        </w:rPr>
        <w:t xml:space="preserve">5.4  Cross-Border Disclosure</w:t>
      </w:r>
    </w:p>
    <w:p>
      <w:pPr>
        <w:spacing w:before="80" w:after="80"/>
      </w:pPr>
      <w:r>
        <w:rPr>
          <w:rFonts w:ascii="Arial" w:cs="Arial" w:eastAsia="Arial" w:hAnsi="Arial"/>
          <w:sz w:val="22"/>
          <w:szCs w:val="22"/>
        </w:rPr>
        <w:t xml:space="preserve">Personal information must not be transferred outside Australia without ensuring the recipient is subject to privacy obligations at least equivalent to the APPs, or without the individual's informed consent. Cross-border transfers must be documented and assessed prior to implementation.</w:t>
      </w:r>
    </w:p>
    <w:p>
      <w:pPr>
        <w:spacing w:before="60" w:after="60"/>
      </w:pPr>
      <w:r>
        <w:t xml:space="preserve"/>
      </w:r>
    </w:p>
    <w:p>
      <w:pPr>
        <w:pStyle w:val="Heading2"/>
        <w:spacing w:before="180" w:after="80"/>
      </w:pPr>
      <w:r>
        <w:rPr>
          <w:rFonts w:ascii="Arial" w:cs="Arial" w:eastAsia="Arial" w:hAnsi="Arial"/>
          <w:b/>
          <w:bCs/>
          <w:color w:val="2E5496"/>
          <w:sz w:val="26"/>
          <w:szCs w:val="26"/>
        </w:rPr>
        <w:t xml:space="preserve">5.5  Security of Personal Information</w:t>
      </w:r>
    </w:p>
    <w:p>
      <w:pPr>
        <w:spacing w:before="80" w:after="80"/>
      </w:pPr>
      <w:r>
        <w:rPr>
          <w:rFonts w:ascii="Arial" w:cs="Arial" w:eastAsia="Arial" w:hAnsi="Arial"/>
          <w:sz w:val="22"/>
          <w:szCs w:val="22"/>
        </w:rPr>
        <w:t xml:space="preserve">Personal information must be protected against misuse, interference, loss, and unauthorised access, modification, or disclosure by implementing appropriate technical and organisational controls in accordance with the Information Security Policy and Information Classification Policy. Access to personal information must be limited to personnel who require it for their business functions.</w:t>
      </w:r>
    </w:p>
    <w:p>
      <w:pPr>
        <w:spacing w:before="60" w:after="60"/>
      </w:pPr>
      <w:r>
        <w:t xml:space="preserve"/>
      </w:r>
    </w:p>
    <w:p>
      <w:pPr>
        <w:pStyle w:val="Heading2"/>
        <w:spacing w:before="180" w:after="80"/>
      </w:pPr>
      <w:r>
        <w:rPr>
          <w:rFonts w:ascii="Arial" w:cs="Arial" w:eastAsia="Arial" w:hAnsi="Arial"/>
          <w:b/>
          <w:bCs/>
          <w:color w:val="2E5496"/>
          <w:sz w:val="26"/>
          <w:szCs w:val="26"/>
        </w:rPr>
        <w:t xml:space="preserve">5.6  Privacy Impact Assessments</w:t>
      </w:r>
    </w:p>
    <w:p>
      <w:pPr>
        <w:spacing w:before="80" w:after="80"/>
      </w:pPr>
      <w:r>
        <w:rPr>
          <w:rFonts w:ascii="Arial" w:cs="Arial" w:eastAsia="Arial" w:hAnsi="Arial"/>
          <w:sz w:val="22"/>
          <w:szCs w:val="22"/>
        </w:rPr>
        <w:t xml:space="preserve">A Privacy Impact Assessment must be conducted before implementing any new system, process, or project that involves collecting or processing personal information in new ways, or before deploying AI systems that process personal information (as required by the Responsible Use of AI Policy).</w:t>
      </w:r>
    </w:p>
    <w:p>
      <w:pPr>
        <w:spacing w:before="60" w:after="60"/>
      </w:pPr>
      <w:r>
        <w:t xml:space="preserve"/>
      </w:r>
    </w:p>
    <w:p>
      <w:pPr>
        <w:pStyle w:val="Heading2"/>
        <w:spacing w:before="180" w:after="80"/>
      </w:pPr>
      <w:r>
        <w:rPr>
          <w:rFonts w:ascii="Arial" w:cs="Arial" w:eastAsia="Arial" w:hAnsi="Arial"/>
          <w:b/>
          <w:bCs/>
          <w:color w:val="2E5496"/>
          <w:sz w:val="26"/>
          <w:szCs w:val="26"/>
        </w:rPr>
        <w:t xml:space="preserve">5.7  Notifiable Data Breaches</w:t>
      </w:r>
    </w:p>
    <w:p>
      <w:pPr>
        <w:spacing w:before="80" w:after="80"/>
      </w:pPr>
      <w:r>
        <w:rPr>
          <w:rFonts w:ascii="Arial" w:cs="Arial" w:eastAsia="Arial" w:hAnsi="Arial"/>
          <w:sz w:val="22"/>
          <w:szCs w:val="22"/>
        </w:rPr>
        <w:t xml:space="preserve">The organisation must comply with the Notifiable Data Breach (NDB) scheme under the Privacy Act 1988 (Cth). If a data breach occurs or is suspected, it must be reported immediately to the Information Security Officer. The ISP/Privacy Officer must assess whether the breach is likely to result in serious harm. If so, the Office of the Australian Information Commissioner (OAIC) and affected individuals must be notified as required by law. Breaches must be managed in accordance with the Security Event and Incident Response Policy.</w:t>
      </w:r>
    </w:p>
    <w:p>
      <w:pPr>
        <w:spacing w:before="60" w:after="60"/>
      </w:pPr>
      <w:r>
        <w:t xml:space="preserve"/>
      </w:r>
    </w:p>
    <w:p>
      <w:pPr>
        <w:pStyle w:val="Heading2"/>
        <w:spacing w:before="180" w:after="80"/>
      </w:pPr>
      <w:r>
        <w:rPr>
          <w:rFonts w:ascii="Arial" w:cs="Arial" w:eastAsia="Arial" w:hAnsi="Arial"/>
          <w:b/>
          <w:bCs/>
          <w:color w:val="2E5496"/>
          <w:sz w:val="26"/>
          <w:szCs w:val="26"/>
        </w:rPr>
        <w:t xml:space="preserve">5.8  AI and Privacy</w:t>
      </w:r>
    </w:p>
    <w:p>
      <w:pPr>
        <w:spacing w:before="80" w:after="80"/>
      </w:pPr>
      <w:r>
        <w:rPr>
          <w:rFonts w:ascii="Arial" w:cs="Arial" w:eastAsia="Arial" w:hAnsi="Arial"/>
          <w:sz w:val="22"/>
          <w:szCs w:val="22"/>
        </w:rPr>
        <w:t xml:space="preserve">The use of AI systems to process personal information must comply with this policy and the Responsible Use of AI Policy. A Privacy Impact Assessment is required before deploying AI systems that process personal information. Personal information must not be input into AI systems without a lawful basis and appropriate safeguards.</w:t>
      </w:r>
    </w:p>
    <w:p>
      <w:pPr>
        <w:spacing w:before="60" w:after="60"/>
      </w:pPr>
      <w:r>
        <w:t xml:space="preserve"/>
      </w:r>
    </w:p>
    <w:p>
      <w:pPr>
        <w:pStyle w:val="Heading1"/>
        <w:pBdr>
          <w:bottom w:val="single" w:color="2E5496" w:sz="6" w:space="1"/>
        </w:pBdr>
        <w:spacing w:before="280" w:after="140"/>
      </w:pPr>
      <w:r>
        <w:rPr>
          <w:rFonts w:ascii="Arial" w:cs="Arial" w:eastAsia="Arial" w:hAnsi="Arial"/>
          <w:b/>
          <w:bCs/>
          <w:color w:val="1F3864"/>
          <w:sz w:val="32"/>
          <w:szCs w:val="32"/>
        </w:rPr>
        <w:t xml:space="preserve">7.  Compliance and Enforcement</w:t>
      </w:r>
    </w:p>
    <w:p>
      <w:pPr>
        <w:spacing w:before="80" w:after="80"/>
      </w:pPr>
      <w:r>
        <w:rPr>
          <w:rFonts w:ascii="Arial" w:cs="Arial" w:eastAsia="Arial" w:hAnsi="Arial"/>
          <w:sz w:val="22"/>
          <w:szCs w:val="22"/>
        </w:rPr>
        <w:t xml:space="preserve">Compliance with this policy is mandatory for all personnel within its scope. The organisation will conduct periodic reviews and audits to assess adherence.</w:t>
      </w:r>
    </w:p>
    <w:p>
      <w:pPr>
        <w:spacing w:before="80" w:after="80"/>
      </w:pPr>
      <w:r>
        <w:rPr>
          <w:rFonts w:ascii="Arial" w:cs="Arial" w:eastAsia="Arial" w:hAnsi="Arial"/>
          <w:sz w:val="22"/>
          <w:szCs w:val="22"/>
        </w:rPr>
        <w:t xml:space="preserve">Where an individual fails to comply with, or deliberately circumvents, the requirements of this policy, disciplinary action will be initiated in accordance with the organisation's Disciplinary Procedure. Depending on the severity of the breach, this may also result in referral to relevant law enforcement bodies.</w:t>
      </w:r>
    </w:p>
    <w:p>
      <w:pPr>
        <w:spacing w:before="60" w:after="60"/>
      </w:pPr>
      <w:r>
        <w:t xml:space="preserve"/>
      </w:r>
    </w:p>
    <w:p>
      <w:pPr>
        <w:pStyle w:val="Heading1"/>
        <w:pBdr>
          <w:bottom w:val="single" w:color="2E5496" w:sz="6" w:space="1"/>
        </w:pBdr>
        <w:spacing w:before="280" w:after="140"/>
      </w:pPr>
      <w:r>
        <w:rPr>
          <w:rFonts w:ascii="Arial" w:cs="Arial" w:eastAsia="Arial" w:hAnsi="Arial"/>
          <w:b/>
          <w:bCs/>
          <w:color w:val="1F3864"/>
          <w:sz w:val="32"/>
          <w:szCs w:val="32"/>
        </w:rPr>
        <w:t xml:space="preserve">8.  Related Documents</w:t>
      </w:r>
    </w:p>
    <w:p>
      <w:pPr>
        <w:pStyle w:val="ListParagraph"/>
        <w:numPr>
          <w:ilvl w:val="0"/>
          <w:numId w:val="2"/>
        </w:numPr>
        <w:spacing w:before="40" w:after="40"/>
      </w:pPr>
      <w:r>
        <w:rPr>
          <w:rFonts w:ascii="Arial" w:cs="Arial" w:eastAsia="Arial" w:hAnsi="Arial"/>
          <w:sz w:val="22"/>
          <w:szCs w:val="22"/>
        </w:rPr>
        <w:t xml:space="preserve">Responsible Use of AI Policy (POL-AI-001)</w:t>
      </w:r>
    </w:p>
    <w:p>
      <w:pPr>
        <w:pStyle w:val="ListParagraph"/>
        <w:numPr>
          <w:ilvl w:val="0"/>
          <w:numId w:val="2"/>
        </w:numPr>
        <w:spacing w:before="40" w:after="40"/>
      </w:pPr>
      <w:r>
        <w:rPr>
          <w:rFonts w:ascii="Arial" w:cs="Arial" w:eastAsia="Arial" w:hAnsi="Arial"/>
          <w:sz w:val="22"/>
          <w:szCs w:val="22"/>
        </w:rPr>
        <w:t xml:space="preserve">Information Classification Policy (POL-SEC-008)</w:t>
      </w:r>
    </w:p>
    <w:p>
      <w:pPr>
        <w:pStyle w:val="ListParagraph"/>
        <w:numPr>
          <w:ilvl w:val="0"/>
          <w:numId w:val="2"/>
        </w:numPr>
        <w:spacing w:before="40" w:after="40"/>
      </w:pPr>
      <w:r>
        <w:rPr>
          <w:rFonts w:ascii="Arial" w:cs="Arial" w:eastAsia="Arial" w:hAnsi="Arial"/>
          <w:sz w:val="22"/>
          <w:szCs w:val="22"/>
        </w:rPr>
        <w:t xml:space="preserve">Information Security Policy (POL-SEC-007)</w:t>
      </w:r>
    </w:p>
    <w:p>
      <w:pPr>
        <w:pStyle w:val="ListParagraph"/>
        <w:numPr>
          <w:ilvl w:val="0"/>
          <w:numId w:val="2"/>
        </w:numPr>
        <w:spacing w:before="40" w:after="40"/>
      </w:pPr>
      <w:r>
        <w:rPr>
          <w:rFonts w:ascii="Arial" w:cs="Arial" w:eastAsia="Arial" w:hAnsi="Arial"/>
          <w:sz w:val="22"/>
          <w:szCs w:val="22"/>
        </w:rPr>
        <w:t xml:space="preserve">Security Event and Incident Response Policy (POL-SEC-011)</w:t>
      </w:r>
    </w:p>
    <w:p>
      <w:pPr>
        <w:pStyle w:val="ListParagraph"/>
        <w:numPr>
          <w:ilvl w:val="0"/>
          <w:numId w:val="2"/>
        </w:numPr>
        <w:spacing w:before="40" w:after="40"/>
      </w:pPr>
      <w:r>
        <w:rPr>
          <w:rFonts w:ascii="Arial" w:cs="Arial" w:eastAsia="Arial" w:hAnsi="Arial"/>
          <w:sz w:val="22"/>
          <w:szCs w:val="22"/>
        </w:rPr>
        <w:t xml:space="preserve">Privacy Act 1988 (Cth)</w:t>
      </w:r>
    </w:p>
    <w:p>
      <w:pPr>
        <w:spacing w:before="60" w:after="60"/>
      </w:pPr>
      <w:r>
        <w:t xml:space="preserve"/>
      </w:r>
    </w:p>
    <w:p>
      <w:pPr>
        <w:pStyle w:val="Heading1"/>
        <w:pBdr>
          <w:bottom w:val="single" w:color="2E5496" w:sz="6" w:space="1"/>
        </w:pBdr>
        <w:spacing w:before="280" w:after="140"/>
      </w:pPr>
      <w:r>
        <w:rPr>
          <w:rFonts w:ascii="Arial" w:cs="Arial" w:eastAsia="Arial" w:hAnsi="Arial"/>
          <w:b/>
          <w:bCs/>
          <w:color w:val="1F3864"/>
          <w:sz w:val="32"/>
          <w:szCs w:val="32"/>
        </w:rPr>
        <w:t xml:space="preserve">9.  Policy Review</w:t>
      </w:r>
    </w:p>
    <w:p>
      <w:pPr>
        <w:spacing w:before="80" w:after="80"/>
      </w:pPr>
      <w:r>
        <w:rPr>
          <w:rFonts w:ascii="Arial" w:cs="Arial" w:eastAsia="Arial" w:hAnsi="Arial"/>
          <w:sz w:val="22"/>
          <w:szCs w:val="22"/>
        </w:rPr>
        <w:t xml:space="preserve">This policy shall be reviewed at least annually or following any significant change to the organisation's environment, a security incident, or updates to applicable standards and regulatory requirements. The policy owner is responsible for initiating and managing the review process.</w:t>
      </w:r>
    </w:p>
    <w:p>
      <w:pPr>
        <w:spacing w:before="60" w:after="60"/>
      </w:pPr>
      <w:r>
        <w:t xml:space="preserve"/>
      </w:r>
    </w:p>
    <w:p>
      <w:pPr>
        <w:pStyle w:val="Heading1"/>
        <w:pBdr>
          <w:bottom w:val="single" w:color="2E5496" w:sz="6" w:space="1"/>
        </w:pBdr>
        <w:spacing w:before="280" w:after="140"/>
      </w:pPr>
      <w:r>
        <w:rPr>
          <w:rFonts w:ascii="Arial" w:cs="Arial" w:eastAsia="Arial" w:hAnsi="Arial"/>
          <w:b/>
          <w:bCs/>
          <w:color w:val="1F3864"/>
          <w:sz w:val="32"/>
          <w:szCs w:val="32"/>
        </w:rPr>
        <w:t xml:space="preserve">10.  Document Revision History</w:t>
      </w:r>
    </w:p>
    <w:p>
      <w:pPr>
        <w:spacing w:before="60" w:after="6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0"/>
        <w:gridCol w:w="1800"/>
        <w:gridCol w:w="4626"/>
        <w:gridCol w:w="1700"/>
      </w:tblGrid>
      <w:tr>
        <w:tc>
          <w:tcPr>
            <w:tcW w:type="dxa" w:w="900"/>
            <w:tcBorders>
              <w:top w:val="single" w:color="CCCCCC" w:sz="1"/>
              <w:left w:val="single" w:color="CCCCCC" w:sz="1"/>
              <w:bottom w:val="single" w:color="CCCCCC" w:sz="1"/>
              <w:right w:val="single" w:color="CCCCCC" w:sz="1"/>
            </w:tcBorders>
            <w:shd w:fill="1F3864" w:val="clear"/>
            <w:tcMar>
              <w:top w:type="dxa" w:w="100"/>
              <w:left w:type="dxa" w:w="150"/>
              <w:bottom w:type="dxa" w:w="100"/>
              <w:right w:type="dxa" w:w="150"/>
            </w:tcMar>
          </w:tcPr>
          <w:p>
            <w:r>
              <w:rPr>
                <w:rFonts w:ascii="Arial" w:cs="Arial" w:eastAsia="Arial" w:hAnsi="Arial"/>
                <w:b/>
                <w:bCs/>
                <w:color w:val="FFFFFF"/>
                <w:sz w:val="22"/>
                <w:szCs w:val="22"/>
              </w:rPr>
              <w:t xml:space="preserve">Version</w:t>
            </w:r>
          </w:p>
        </w:tc>
        <w:tc>
          <w:tcPr>
            <w:tcW w:type="dxa" w:w="1800"/>
            <w:tcBorders>
              <w:top w:val="single" w:color="CCCCCC" w:sz="1"/>
              <w:left w:val="single" w:color="CCCCCC" w:sz="1"/>
              <w:bottom w:val="single" w:color="CCCCCC" w:sz="1"/>
              <w:right w:val="single" w:color="CCCCCC" w:sz="1"/>
            </w:tcBorders>
            <w:shd w:fill="1F3864" w:val="clear"/>
            <w:tcMar>
              <w:top w:type="dxa" w:w="100"/>
              <w:left w:type="dxa" w:w="150"/>
              <w:bottom w:type="dxa" w:w="100"/>
              <w:right w:type="dxa" w:w="150"/>
            </w:tcMar>
          </w:tcPr>
          <w:p>
            <w:r>
              <w:rPr>
                <w:rFonts w:ascii="Arial" w:cs="Arial" w:eastAsia="Arial" w:hAnsi="Arial"/>
                <w:b/>
                <w:bCs/>
                <w:color w:val="FFFFFF"/>
                <w:sz w:val="22"/>
                <w:szCs w:val="22"/>
              </w:rPr>
              <w:t xml:space="preserve">Date</w:t>
            </w:r>
          </w:p>
        </w:tc>
        <w:tc>
          <w:tcPr>
            <w:tcW w:type="dxa" w:w="4626"/>
            <w:tcBorders>
              <w:top w:val="single" w:color="CCCCCC" w:sz="1"/>
              <w:left w:val="single" w:color="CCCCCC" w:sz="1"/>
              <w:bottom w:val="single" w:color="CCCCCC" w:sz="1"/>
              <w:right w:val="single" w:color="CCCCCC" w:sz="1"/>
            </w:tcBorders>
            <w:shd w:fill="1F3864" w:val="clear"/>
            <w:tcMar>
              <w:top w:type="dxa" w:w="100"/>
              <w:left w:type="dxa" w:w="150"/>
              <w:bottom w:type="dxa" w:w="100"/>
              <w:right w:type="dxa" w:w="150"/>
            </w:tcMar>
          </w:tcPr>
          <w:p>
            <w:r>
              <w:rPr>
                <w:rFonts w:ascii="Arial" w:cs="Arial" w:eastAsia="Arial" w:hAnsi="Arial"/>
                <w:b/>
                <w:bCs/>
                <w:color w:val="FFFFFF"/>
                <w:sz w:val="22"/>
                <w:szCs w:val="22"/>
              </w:rPr>
              <w:t xml:space="preserve">Description</w:t>
            </w:r>
          </w:p>
        </w:tc>
        <w:tc>
          <w:tcPr>
            <w:tcW w:type="dxa" w:w="1700"/>
            <w:tcBorders>
              <w:top w:val="single" w:color="CCCCCC" w:sz="1"/>
              <w:left w:val="single" w:color="CCCCCC" w:sz="1"/>
              <w:bottom w:val="single" w:color="CCCCCC" w:sz="1"/>
              <w:right w:val="single" w:color="CCCCCC" w:sz="1"/>
            </w:tcBorders>
            <w:shd w:fill="1F3864" w:val="clear"/>
            <w:tcMar>
              <w:top w:type="dxa" w:w="100"/>
              <w:left w:type="dxa" w:w="150"/>
              <w:bottom w:type="dxa" w:w="100"/>
              <w:right w:type="dxa" w:w="150"/>
            </w:tcMar>
          </w:tcPr>
          <w:p>
            <w:r>
              <w:rPr>
                <w:rFonts w:ascii="Arial" w:cs="Arial" w:eastAsia="Arial" w:hAnsi="Arial"/>
                <w:b/>
                <w:bCs/>
                <w:color w:val="FFFFFF"/>
                <w:sz w:val="22"/>
                <w:szCs w:val="22"/>
              </w:rPr>
              <w:t xml:space="preserve">Author</w:t>
            </w:r>
          </w:p>
        </w:tc>
      </w:tr>
      <w:tr>
        <w:tc>
          <w:tcPr>
            <w:tcW w:type="dxa" w:w="9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sz w:val="22"/>
                <w:szCs w:val="22"/>
              </w:rPr>
              <w:t xml:space="preserve">1.0</w:t>
            </w:r>
          </w:p>
        </w:tc>
        <w:tc>
          <w:tcPr>
            <w:tcW w:type="dxa" w:w="18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sz w:val="22"/>
                <w:szCs w:val="22"/>
              </w:rPr>
              <w:t xml:space="preserve">[DD/MM/YYYY]</w:t>
            </w:r>
          </w:p>
        </w:tc>
        <w:tc>
          <w:tcPr>
            <w:tcW w:type="dxa" w:w="4626"/>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sz w:val="22"/>
                <w:szCs w:val="22"/>
              </w:rPr>
              <w:t xml:space="preserve">Initial release</w:t>
            </w:r>
          </w:p>
        </w:tc>
        <w:tc>
          <w:tcPr>
            <w:tcW w:type="dxa" w:w="17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sz w:val="22"/>
                <w:szCs w:val="22"/>
              </w:rPr>
              <w:t xml:space="preserve">[Author Name]</w:t>
            </w:r>
          </w:p>
        </w:tc>
      </w:tr>
    </w:tbl>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bullet"/>
      <w:lvlText w:val="◦"/>
      <w:lvlJc w:val="left"/>
      <w:pPr>
        <w:ind w:left="108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280" w:after="140"/>
      <w:outlineLvl w:val="0"/>
    </w:pPr>
    <w:rPr>
      <w:rFonts w:ascii="Arial" w:cs="Arial" w:eastAsia="Arial" w:hAnsi="Arial"/>
      <w:b/>
      <w:bCs/>
      <w:color w:val="1F3864"/>
      <w:sz w:val="32"/>
      <w:szCs w:val="32"/>
    </w:rPr>
  </w:style>
  <w:style w:type="paragraph" w:styleId="Heading2">
    <w:name w:val="Heading 2"/>
    <w:basedOn w:val="Normal"/>
    <w:next w:val="Normal"/>
    <w:qFormat/>
    <w:pPr>
      <w:spacing w:before="180" w:after="80"/>
      <w:outlineLvl w:val="1"/>
    </w:pPr>
    <w:rPr>
      <w:rFonts w:ascii="Arial" w:cs="Arial" w:eastAsia="Arial" w:hAnsi="Arial"/>
      <w:b/>
      <w:bCs/>
      <w:color w:val="2E5496"/>
      <w:sz w:val="26"/>
      <w:szCs w:val="26"/>
    </w:rPr>
  </w:style>
  <w:style w:type="paragraph" w:styleId="Heading3">
    <w:name w:val="Heading 3"/>
    <w:basedOn w:val="Normal"/>
    <w:next w:val="Normal"/>
    <w:qFormat/>
    <w:pPr>
      <w:spacing w:before="140" w:after="60"/>
      <w:outlineLvl w:val="2"/>
    </w:pPr>
    <w:rPr>
      <w:rFonts w:ascii="Arial" w:cs="Arial" w:eastAsia="Arial" w:hAnsi="Arial"/>
      <w:b/>
      <w:bCs/>
      <w:color w:val="404040"/>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2026-03-30T13:53:31.247Z</dcterms:created>
  <dcterms:modified xsi:type="dcterms:W3CDTF">2026-03-30T13:53:31.247Z</dcterms:modified>
</cp:coreProperties>
</file>

<file path=docProps/custom.xml><?xml version="1.0" encoding="utf-8"?>
<Properties xmlns="http://schemas.openxmlformats.org/officeDocument/2006/custom-properties" xmlns:vt="http://schemas.openxmlformats.org/officeDocument/2006/docPropsVTypes"/>
</file>