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WHISTLEBLOWER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Whistleblower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POL-HR-003</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Operations Manager]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[Board / CEO]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A.6.4 — Disciplinary process</w:t>
            </w:r>
          </w:p>
          <w:p>
            <w:r>
              <w:rPr>
                <w:rFonts w:ascii="Arial" w:cs="Arial" w:eastAsia="Arial" w:hAnsi="Arial"/>
                <w:sz w:val="22"/>
                <w:szCs w:val="22"/>
              </w:rPr>
              <w:t xml:space="preserve">A.5.1 — Policies for information security</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is guided by its core values, which are the foundation of how it conducts itself and interacts with employees, clients, suppliers, shareholders, and other stakeholders. The organisation is committed to ensuring corporate compliance and promoting an ethical corporate culture by observing the highest standards of fair dealing, honesty, and integrity in all business activities.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ensures that concerns raised regarding misconduct or an improper state of affairs in relation to the organisation's business are dealt with effectively, securely, appropriately, and in accordance with the Corporations Act 2001 (Cth).</w:t>
      </w:r>
    </w:p>
    <w:p>
      <w:pPr>
        <w:spacing w:before="80" w:after="80"/>
      </w:pPr>
      <w:r>
        <w:rPr>
          <w:rFonts w:ascii="Arial" w:cs="Arial" w:eastAsia="Arial" w:hAnsi="Arial"/>
          <w:sz w:val="22"/>
          <w:szCs w:val="22"/>
        </w:rPr>
        <w:t xml:space="preserve">The organisation encourages the reporting of any instances of suspected unethical, illegal, corrupt, fraudulent, or undesirable conduct involving the organisation's business and provides protections and measures to individuals who make a disclosure in relation to such conduct without fear of victimisation or reprisal.</w:t>
      </w:r>
    </w:p>
    <w:p>
      <w:pPr>
        <w:spacing w:before="80" w:after="80"/>
      </w:pPr>
      <w:r>
        <w:rPr>
          <w:rFonts w:ascii="Arial" w:cs="Arial" w:eastAsia="Arial" w:hAnsi="Arial"/>
          <w:sz w:val="22"/>
          <w:szCs w:val="22"/>
        </w:rPr>
        <w:t xml:space="preserve">This policy will be provided to all employees and officers of the organisation upon commencement of their employment or engagement and will also be available on the organisation's intranet.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any person who is, or has been, any of the following with respect to the organisation:</w:t>
      </w:r>
    </w:p>
    <w:p>
      <w:pPr>
        <w:pStyle w:val="ListParagraph"/>
        <w:numPr>
          <w:ilvl w:val="0"/>
          <w:numId w:val="2"/>
        </w:numPr>
        <w:spacing w:before="40" w:after="40"/>
      </w:pPr>
      <w:r>
        <w:rPr>
          <w:rFonts w:ascii="Arial" w:cs="Arial" w:eastAsia="Arial" w:hAnsi="Arial"/>
          <w:sz w:val="22"/>
          <w:szCs w:val="22"/>
        </w:rPr>
        <w:t xml:space="preserve">Employee</w:t>
      </w:r>
    </w:p>
    <w:p>
      <w:pPr>
        <w:pStyle w:val="ListParagraph"/>
        <w:numPr>
          <w:ilvl w:val="0"/>
          <w:numId w:val="2"/>
        </w:numPr>
        <w:spacing w:before="40" w:after="40"/>
      </w:pPr>
      <w:r>
        <w:rPr>
          <w:rFonts w:ascii="Arial" w:cs="Arial" w:eastAsia="Arial" w:hAnsi="Arial"/>
          <w:sz w:val="22"/>
          <w:szCs w:val="22"/>
        </w:rPr>
        <w:t xml:space="preserve">Officer</w:t>
      </w:r>
    </w:p>
    <w:p>
      <w:pPr>
        <w:pStyle w:val="ListParagraph"/>
        <w:numPr>
          <w:ilvl w:val="0"/>
          <w:numId w:val="2"/>
        </w:numPr>
        <w:spacing w:before="40" w:after="40"/>
      </w:pPr>
      <w:r>
        <w:rPr>
          <w:rFonts w:ascii="Arial" w:cs="Arial" w:eastAsia="Arial" w:hAnsi="Arial"/>
          <w:sz w:val="22"/>
          <w:szCs w:val="22"/>
        </w:rPr>
        <w:t xml:space="preserve">Director</w:t>
      </w:r>
    </w:p>
    <w:p>
      <w:pPr>
        <w:pStyle w:val="ListParagraph"/>
        <w:numPr>
          <w:ilvl w:val="0"/>
          <w:numId w:val="2"/>
        </w:numPr>
        <w:spacing w:before="40" w:after="40"/>
      </w:pPr>
      <w:r>
        <w:rPr>
          <w:rFonts w:ascii="Arial" w:cs="Arial" w:eastAsia="Arial" w:hAnsi="Arial"/>
          <w:sz w:val="22"/>
          <w:szCs w:val="22"/>
        </w:rPr>
        <w:t xml:space="preserve">Contractor (including sub-contractors and employees of contractors)</w:t>
      </w:r>
    </w:p>
    <w:p>
      <w:pPr>
        <w:pStyle w:val="ListParagraph"/>
        <w:numPr>
          <w:ilvl w:val="0"/>
          <w:numId w:val="2"/>
        </w:numPr>
        <w:spacing w:before="40" w:after="40"/>
      </w:pPr>
      <w:r>
        <w:rPr>
          <w:rFonts w:ascii="Arial" w:cs="Arial" w:eastAsia="Arial" w:hAnsi="Arial"/>
          <w:sz w:val="22"/>
          <w:szCs w:val="22"/>
        </w:rPr>
        <w:t xml:space="preserve">Supplier (including employees of suppliers)</w:t>
      </w:r>
    </w:p>
    <w:p>
      <w:pPr>
        <w:pStyle w:val="ListParagraph"/>
        <w:numPr>
          <w:ilvl w:val="0"/>
          <w:numId w:val="2"/>
        </w:numPr>
        <w:spacing w:before="40" w:after="40"/>
      </w:pPr>
      <w:r>
        <w:rPr>
          <w:rFonts w:ascii="Arial" w:cs="Arial" w:eastAsia="Arial" w:hAnsi="Arial"/>
          <w:sz w:val="22"/>
          <w:szCs w:val="22"/>
        </w:rPr>
        <w:t xml:space="preserve">Consultant</w:t>
      </w:r>
    </w:p>
    <w:p>
      <w:pPr>
        <w:spacing w:before="80" w:after="80"/>
      </w:pPr>
      <w:r>
        <w:rPr>
          <w:rFonts w:ascii="Arial" w:cs="Arial" w:eastAsia="Arial" w:hAnsi="Arial"/>
          <w:sz w:val="22"/>
          <w:szCs w:val="22"/>
        </w:rPr>
        <w:t xml:space="preserve">This policy is intended to apply to the above persons in all countries in which the organisation operates a business.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Reportable Conduct</w:t>
      </w:r>
    </w:p>
    <w:p>
      <w:pPr>
        <w:spacing w:before="80" w:after="80"/>
      </w:pPr>
      <w:r>
        <w:rPr>
          <w:rFonts w:ascii="Arial" w:cs="Arial" w:eastAsia="Arial" w:hAnsi="Arial"/>
          <w:sz w:val="22"/>
          <w:szCs w:val="22"/>
        </w:rPr>
        <w:t xml:space="preserve">You may make a report or disclosure under this policy if you have reasonable grounds to believe that a director, officer, employee, contractor, supplier, consultant, or other person who has business dealings with the organisation has engaged in conduct (Reportable Conduct) which is:</w:t>
      </w:r>
    </w:p>
    <w:p>
      <w:pPr>
        <w:pStyle w:val="ListParagraph"/>
        <w:numPr>
          <w:ilvl w:val="0"/>
          <w:numId w:val="2"/>
        </w:numPr>
        <w:spacing w:before="40" w:after="40"/>
      </w:pPr>
      <w:r>
        <w:rPr>
          <w:rFonts w:ascii="Arial" w:cs="Arial" w:eastAsia="Arial" w:hAnsi="Arial"/>
          <w:sz w:val="22"/>
          <w:szCs w:val="22"/>
        </w:rPr>
        <w:t xml:space="preserve">Dishonest, fraudulent, or corrupt</w:t>
      </w:r>
    </w:p>
    <w:p>
      <w:pPr>
        <w:pStyle w:val="ListParagraph"/>
        <w:numPr>
          <w:ilvl w:val="0"/>
          <w:numId w:val="2"/>
        </w:numPr>
        <w:spacing w:before="40" w:after="40"/>
      </w:pPr>
      <w:r>
        <w:rPr>
          <w:rFonts w:ascii="Arial" w:cs="Arial" w:eastAsia="Arial" w:hAnsi="Arial"/>
          <w:sz w:val="22"/>
          <w:szCs w:val="22"/>
        </w:rPr>
        <w:t xml:space="preserve">Illegal (such as theft, dealing in or use of illicit drugs, violence or threatened violence, or criminal damage to property)</w:t>
      </w:r>
    </w:p>
    <w:p>
      <w:pPr>
        <w:pStyle w:val="ListParagraph"/>
        <w:numPr>
          <w:ilvl w:val="0"/>
          <w:numId w:val="2"/>
        </w:numPr>
        <w:spacing w:before="40" w:after="40"/>
      </w:pPr>
      <w:r>
        <w:rPr>
          <w:rFonts w:ascii="Arial" w:cs="Arial" w:eastAsia="Arial" w:hAnsi="Arial"/>
          <w:sz w:val="22"/>
          <w:szCs w:val="22"/>
        </w:rPr>
        <w:t xml:space="preserve">Unethical, including any breach of organisational policies such as the Code of Conduct</w:t>
      </w:r>
    </w:p>
    <w:p>
      <w:pPr>
        <w:pStyle w:val="ListParagraph"/>
        <w:numPr>
          <w:ilvl w:val="0"/>
          <w:numId w:val="2"/>
        </w:numPr>
        <w:spacing w:before="40" w:after="40"/>
      </w:pPr>
      <w:r>
        <w:rPr>
          <w:rFonts w:ascii="Arial" w:cs="Arial" w:eastAsia="Arial" w:hAnsi="Arial"/>
          <w:sz w:val="22"/>
          <w:szCs w:val="22"/>
        </w:rPr>
        <w:t xml:space="preserve">Oppressive or grossly negligent</w:t>
      </w:r>
    </w:p>
    <w:p>
      <w:pPr>
        <w:pStyle w:val="ListParagraph"/>
        <w:numPr>
          <w:ilvl w:val="0"/>
          <w:numId w:val="2"/>
        </w:numPr>
        <w:spacing w:before="40" w:after="40"/>
      </w:pPr>
      <w:r>
        <w:rPr>
          <w:rFonts w:ascii="Arial" w:cs="Arial" w:eastAsia="Arial" w:hAnsi="Arial"/>
          <w:sz w:val="22"/>
          <w:szCs w:val="22"/>
        </w:rPr>
        <w:t xml:space="preserve">Potentially damaging to the organisation, its employees, or a third party</w:t>
      </w:r>
    </w:p>
    <w:p>
      <w:pPr>
        <w:pStyle w:val="ListParagraph"/>
        <w:numPr>
          <w:ilvl w:val="0"/>
          <w:numId w:val="2"/>
        </w:numPr>
        <w:spacing w:before="40" w:after="40"/>
      </w:pPr>
      <w:r>
        <w:rPr>
          <w:rFonts w:ascii="Arial" w:cs="Arial" w:eastAsia="Arial" w:hAnsi="Arial"/>
          <w:sz w:val="22"/>
          <w:szCs w:val="22"/>
        </w:rPr>
        <w:t xml:space="preserve">Misconduct or an improper state of affairs</w:t>
      </w:r>
    </w:p>
    <w:p>
      <w:pPr>
        <w:pStyle w:val="ListParagraph"/>
        <w:numPr>
          <w:ilvl w:val="0"/>
          <w:numId w:val="2"/>
        </w:numPr>
        <w:spacing w:before="40" w:after="40"/>
      </w:pPr>
      <w:r>
        <w:rPr>
          <w:rFonts w:ascii="Arial" w:cs="Arial" w:eastAsia="Arial" w:hAnsi="Arial"/>
          <w:sz w:val="22"/>
          <w:szCs w:val="22"/>
        </w:rPr>
        <w:t xml:space="preserve">A danger, or representing a danger, to the public or financial system</w:t>
      </w:r>
    </w:p>
    <w:p>
      <w:pPr>
        <w:pStyle w:val="ListParagraph"/>
        <w:numPr>
          <w:ilvl w:val="0"/>
          <w:numId w:val="2"/>
        </w:numPr>
        <w:spacing w:before="40" w:after="40"/>
      </w:pPr>
      <w:r>
        <w:rPr>
          <w:rFonts w:ascii="Arial" w:cs="Arial" w:eastAsia="Arial" w:hAnsi="Arial"/>
          <w:sz w:val="22"/>
          <w:szCs w:val="22"/>
        </w:rPr>
        <w:t xml:space="preserve">Harassment, discrimination, victimisation, or bullying</w:t>
      </w:r>
    </w:p>
    <w:p>
      <w:pPr>
        <w:spacing w:before="60" w:after="60"/>
      </w:pPr>
      <w:r>
        <w:t xml:space="preserve"/>
      </w:r>
    </w:p>
    <w:p>
      <w:pPr>
        <w:spacing w:before="80" w:after="80"/>
      </w:pPr>
      <w:r>
        <w:rPr>
          <w:rFonts w:ascii="Arial" w:cs="Arial" w:eastAsia="Arial" w:hAnsi="Arial"/>
          <w:sz w:val="22"/>
          <w:szCs w:val="22"/>
        </w:rPr>
        <w:t xml:space="preserve">Any disclosures that do not fall within the definition of Reportable Conduct will not qualify for protection under the Corporations Act 2001 (Cth). Reportable Conduct does not include personal work-related grievances. A personal work-related grievance is a grievance about any matter in relation to a staff member's current or former employment having implications for that person personally and which do not have broader implications for the organisation. Examples include: interpersonal conflict between employees; decisions relating to engagement, transfer, or promotion; decisions relating to terms and conditions of engagement; and decisions to suspend, terminate, or discipline the staff member. Personal work-related grievances should be reported to your manager or in accordance with the organisation's grievance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Making a Disclosure</w:t>
      </w:r>
    </w:p>
    <w:p>
      <w:pPr>
        <w:spacing w:before="80" w:after="80"/>
      </w:pPr>
      <w:r>
        <w:rPr>
          <w:rFonts w:ascii="Arial" w:cs="Arial" w:eastAsia="Arial" w:hAnsi="Arial"/>
          <w:sz w:val="22"/>
          <w:szCs w:val="22"/>
        </w:rPr>
        <w:t xml:space="preserve">The organisation relies on its employees maintaining a culture of honest and ethical behaviour. If you become aware of any Reportable Conduct, it is expected that you will make a disclosure under this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5.1  Internal Reporting</w:t>
      </w:r>
    </w:p>
    <w:p>
      <w:pPr>
        <w:spacing w:before="80" w:after="80"/>
      </w:pPr>
      <w:r>
        <w:rPr>
          <w:rFonts w:ascii="Arial" w:cs="Arial" w:eastAsia="Arial" w:hAnsi="Arial"/>
          <w:sz w:val="22"/>
          <w:szCs w:val="22"/>
        </w:rPr>
        <w:t xml:space="preserve">You may disclose any Reportable Conduct to the organisation's designated Whistleblower Protection Officers. The current Whistleblower Protection Officers are: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5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Contact Method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[Whistleblower Protection Officer 1 — Role Title]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[Email address]</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[Whistleblower Protection Officer 2 — Role Title]</w:t>
            </w:r>
          </w:p>
        </w:tc>
        <w:tc>
          <w:tcPr>
            <w:tcW w:type="dxa" w:w="5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[Email address]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[Whistleblower Protection Officer 3 — Role Title]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[Email address]</w:t>
            </w:r>
          </w:p>
        </w:tc>
      </w:tr>
    </w:tbl>
    <w:p>
      <w:pPr>
        <w:spacing w:before="60" w:after="60"/>
      </w:pPr>
      <w:r>
        <w:t xml:space="preserve"/>
      </w:r>
    </w:p>
    <w:p>
      <w:pPr>
        <w:spacing w:before="80" w:after="80"/>
      </w:pPr>
      <w:r>
        <w:rPr>
          <w:rFonts w:ascii="Arial" w:cs="Arial" w:eastAsia="Arial" w:hAnsi="Arial"/>
          <w:sz w:val="22"/>
          <w:szCs w:val="22"/>
        </w:rPr>
        <w:t xml:space="preserve">You can make a disclosure outside of business hours by contacting the above Whistleblower Protection Officers via email. You are also encouraged to contact them to obtain additional information before making a disclosure or for any clarification regarding this policy.</w:t>
      </w:r>
    </w:p>
    <w:p>
      <w:pPr>
        <w:spacing w:before="80" w:after="80"/>
      </w:pPr>
      <w:r>
        <w:rPr>
          <w:rFonts w:ascii="Arial" w:cs="Arial" w:eastAsia="Arial" w:hAnsi="Arial"/>
          <w:sz w:val="22"/>
          <w:szCs w:val="22"/>
        </w:rPr>
        <w:t xml:space="preserve">If you are unable to use any of the above reporting channels, a disclosure can be made to an eligible recipient within the organisation. Eligible recipients include officers, directors, senior managers, and the auditor or a member of an audit team conducting an audit of the organisation.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External Reporting</w:t>
      </w:r>
    </w:p>
    <w:p>
      <w:pPr>
        <w:spacing w:before="80" w:after="80"/>
      </w:pPr>
      <w:r>
        <w:rPr>
          <w:rFonts w:ascii="Arial" w:cs="Arial" w:eastAsia="Arial" w:hAnsi="Arial"/>
          <w:sz w:val="22"/>
          <w:szCs w:val="22"/>
        </w:rPr>
        <w:t xml:space="preserve">You may also make a disclosure directly to the Australian Securities and Investments Commission (ASIC), the Australian Prudential Regulation Authority (APRA), the Australian Federal Police (AFP), or the Australian Taxation Office (ATO) where you believe the matter warrants external escalation.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Investigation</w:t>
      </w:r>
    </w:p>
    <w:p>
      <w:pPr>
        <w:spacing w:before="80" w:after="80"/>
      </w:pPr>
      <w:r>
        <w:rPr>
          <w:rFonts w:ascii="Arial" w:cs="Arial" w:eastAsia="Arial" w:hAnsi="Arial"/>
          <w:sz w:val="22"/>
          <w:szCs w:val="22"/>
        </w:rPr>
        <w:t xml:space="preserve">The organisation will investigate all matters reported under this policy as soon as practicable after the matter has been reported. The Whistleblower Protection Officer will investigate the matter and, where necessary, appoint an external investigator. All investigations will be conducted in a fair, independent, and timely manner and all reasonable efforts will be made to preserve confidentiality during the investigation.</w:t>
      </w:r>
    </w:p>
    <w:p>
      <w:pPr>
        <w:spacing w:before="80" w:after="80"/>
      </w:pPr>
      <w:r>
        <w:rPr>
          <w:rFonts w:ascii="Arial" w:cs="Arial" w:eastAsia="Arial" w:hAnsi="Arial"/>
          <w:sz w:val="22"/>
          <w:szCs w:val="22"/>
        </w:rPr>
        <w:t xml:space="preserve">If the report is not anonymous, the Whistleblower Protection Officer or external investigator will contact you by your preferred method of communication to discuss the investigation process. Where you have chosen to remain anonymous, your identity will not be disclosed and the organisation will conduct the investigation based on the information provided.</w:t>
      </w:r>
    </w:p>
    <w:p>
      <w:pPr>
        <w:spacing w:before="80" w:after="80"/>
      </w:pPr>
      <w:r>
        <w:rPr>
          <w:rFonts w:ascii="Arial" w:cs="Arial" w:eastAsia="Arial" w:hAnsi="Arial"/>
          <w:sz w:val="22"/>
          <w:szCs w:val="22"/>
        </w:rPr>
        <w:t xml:space="preserve">Where possible, the Whistleblower Protection Officer will provide you with feedback on the progress and expected timeframes. The person against whom allegations have been made will be informed of the concerns and provided with an opportunity to respond, unless there are restrictions or reasonable bases for not doing so.</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Protection of Whistleblowers</w:t>
      </w:r>
    </w:p>
    <w:p>
      <w:pPr>
        <w:pStyle w:val="Heading2"/>
        <w:spacing w:before="180" w:after="80"/>
      </w:pPr>
      <w:r>
        <w:rPr>
          <w:rFonts w:ascii="Arial" w:cs="Arial" w:eastAsia="Arial" w:hAnsi="Arial"/>
          <w:b/>
          <w:bCs/>
          <w:color w:val="2E5496"/>
          <w:sz w:val="26"/>
          <w:szCs w:val="26"/>
        </w:rPr>
        <w:t xml:space="preserve">7.1  Protection from Legal Action</w:t>
      </w:r>
    </w:p>
    <w:p>
      <w:pPr>
        <w:spacing w:before="80" w:after="80"/>
      </w:pPr>
      <w:r>
        <w:rPr>
          <w:rFonts w:ascii="Arial" w:cs="Arial" w:eastAsia="Arial" w:hAnsi="Arial"/>
          <w:sz w:val="22"/>
          <w:szCs w:val="22"/>
        </w:rPr>
        <w:t xml:space="preserve">You will not be subject to any civil, criminal, or administrative legal action (including disciplinary action) for making a disclosure under this policy or participating in any investigation. Any information you provide will not be admissible in any criminal or civil proceedings other than for proceedings in respect of the falsity of the information.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7.2  Protection against Detrimental Conduct</w:t>
      </w:r>
    </w:p>
    <w:p>
      <w:pPr>
        <w:spacing w:before="80" w:after="80"/>
      </w:pPr>
      <w:r>
        <w:rPr>
          <w:rFonts w:ascii="Arial" w:cs="Arial" w:eastAsia="Arial" w:hAnsi="Arial"/>
          <w:sz w:val="22"/>
          <w:szCs w:val="22"/>
        </w:rPr>
        <w:t xml:space="preserve">The organisation will not engage in Detrimental Conduct against you if you have made a disclosure under this policy. Detrimental Conduct includes actual or threatened conduct such as:</w:t>
      </w:r>
    </w:p>
    <w:p>
      <w:pPr>
        <w:pStyle w:val="ListParagraph"/>
        <w:numPr>
          <w:ilvl w:val="0"/>
          <w:numId w:val="2"/>
        </w:numPr>
        <w:spacing w:before="40" w:after="40"/>
      </w:pPr>
      <w:r>
        <w:rPr>
          <w:rFonts w:ascii="Arial" w:cs="Arial" w:eastAsia="Arial" w:hAnsi="Arial"/>
          <w:sz w:val="22"/>
          <w:szCs w:val="22"/>
        </w:rPr>
        <w:t xml:space="preserve">Termination of employment</w:t>
      </w:r>
    </w:p>
    <w:p>
      <w:pPr>
        <w:pStyle w:val="ListParagraph"/>
        <w:numPr>
          <w:ilvl w:val="0"/>
          <w:numId w:val="2"/>
        </w:numPr>
        <w:spacing w:before="40" w:after="40"/>
      </w:pPr>
      <w:r>
        <w:rPr>
          <w:rFonts w:ascii="Arial" w:cs="Arial" w:eastAsia="Arial" w:hAnsi="Arial"/>
          <w:sz w:val="22"/>
          <w:szCs w:val="22"/>
        </w:rPr>
        <w:t xml:space="preserve">Injury to employment including demotion or disciplinary action</w:t>
      </w:r>
    </w:p>
    <w:p>
      <w:pPr>
        <w:pStyle w:val="ListParagraph"/>
        <w:numPr>
          <w:ilvl w:val="0"/>
          <w:numId w:val="2"/>
        </w:numPr>
        <w:spacing w:before="40" w:after="40"/>
      </w:pPr>
      <w:r>
        <w:rPr>
          <w:rFonts w:ascii="Arial" w:cs="Arial" w:eastAsia="Arial" w:hAnsi="Arial"/>
          <w:sz w:val="22"/>
          <w:szCs w:val="22"/>
        </w:rPr>
        <w:t xml:space="preserve">Alteration of position or duties</w:t>
      </w:r>
    </w:p>
    <w:p>
      <w:pPr>
        <w:pStyle w:val="ListParagraph"/>
        <w:numPr>
          <w:ilvl w:val="0"/>
          <w:numId w:val="2"/>
        </w:numPr>
        <w:spacing w:before="40" w:after="40"/>
      </w:pPr>
      <w:r>
        <w:rPr>
          <w:rFonts w:ascii="Arial" w:cs="Arial" w:eastAsia="Arial" w:hAnsi="Arial"/>
          <w:sz w:val="22"/>
          <w:szCs w:val="22"/>
        </w:rPr>
        <w:t xml:space="preserve">Discrimination</w:t>
      </w:r>
    </w:p>
    <w:p>
      <w:pPr>
        <w:pStyle w:val="ListParagraph"/>
        <w:numPr>
          <w:ilvl w:val="0"/>
          <w:numId w:val="2"/>
        </w:numPr>
        <w:spacing w:before="40" w:after="40"/>
      </w:pPr>
      <w:r>
        <w:rPr>
          <w:rFonts w:ascii="Arial" w:cs="Arial" w:eastAsia="Arial" w:hAnsi="Arial"/>
          <w:sz w:val="22"/>
          <w:szCs w:val="22"/>
        </w:rPr>
        <w:t xml:space="preserve">Harassment, bullying, or intimidation</w:t>
      </w:r>
    </w:p>
    <w:p>
      <w:pPr>
        <w:pStyle w:val="ListParagraph"/>
        <w:numPr>
          <w:ilvl w:val="0"/>
          <w:numId w:val="2"/>
        </w:numPr>
        <w:spacing w:before="40" w:after="40"/>
      </w:pPr>
      <w:r>
        <w:rPr>
          <w:rFonts w:ascii="Arial" w:cs="Arial" w:eastAsia="Arial" w:hAnsi="Arial"/>
          <w:sz w:val="22"/>
          <w:szCs w:val="22"/>
        </w:rPr>
        <w:t xml:space="preserve">Victimisation</w:t>
      </w:r>
    </w:p>
    <w:p>
      <w:pPr>
        <w:pStyle w:val="ListParagraph"/>
        <w:numPr>
          <w:ilvl w:val="0"/>
          <w:numId w:val="2"/>
        </w:numPr>
        <w:spacing w:before="40" w:after="40"/>
      </w:pPr>
      <w:r>
        <w:rPr>
          <w:rFonts w:ascii="Arial" w:cs="Arial" w:eastAsia="Arial" w:hAnsi="Arial"/>
          <w:sz w:val="22"/>
          <w:szCs w:val="22"/>
        </w:rPr>
        <w:t xml:space="preserve">Harm or injury including psychological harm</w:t>
      </w:r>
    </w:p>
    <w:p>
      <w:pPr>
        <w:pStyle w:val="ListParagraph"/>
        <w:numPr>
          <w:ilvl w:val="0"/>
          <w:numId w:val="2"/>
        </w:numPr>
        <w:spacing w:before="40" w:after="40"/>
      </w:pPr>
      <w:r>
        <w:rPr>
          <w:rFonts w:ascii="Arial" w:cs="Arial" w:eastAsia="Arial" w:hAnsi="Arial"/>
          <w:sz w:val="22"/>
          <w:szCs w:val="22"/>
        </w:rPr>
        <w:t xml:space="preserve">Damage to a person's property</w:t>
      </w:r>
    </w:p>
    <w:p>
      <w:pPr>
        <w:pStyle w:val="ListParagraph"/>
        <w:numPr>
          <w:ilvl w:val="0"/>
          <w:numId w:val="2"/>
        </w:numPr>
        <w:spacing w:before="40" w:after="40"/>
      </w:pPr>
      <w:r>
        <w:rPr>
          <w:rFonts w:ascii="Arial" w:cs="Arial" w:eastAsia="Arial" w:hAnsi="Arial"/>
          <w:sz w:val="22"/>
          <w:szCs w:val="22"/>
        </w:rPr>
        <w:t xml:space="preserve">Damage to a person's reputation</w:t>
      </w:r>
    </w:p>
    <w:p>
      <w:pPr>
        <w:pStyle w:val="ListParagraph"/>
        <w:numPr>
          <w:ilvl w:val="0"/>
          <w:numId w:val="2"/>
        </w:numPr>
        <w:spacing w:before="40" w:after="40"/>
      </w:pPr>
      <w:r>
        <w:rPr>
          <w:rFonts w:ascii="Arial" w:cs="Arial" w:eastAsia="Arial" w:hAnsi="Arial"/>
          <w:sz w:val="22"/>
          <w:szCs w:val="22"/>
        </w:rPr>
        <w:t xml:space="preserve">Damage to a person's business or financial position</w:t>
      </w:r>
    </w:p>
    <w:p>
      <w:pPr>
        <w:pStyle w:val="ListParagraph"/>
        <w:numPr>
          <w:ilvl w:val="0"/>
          <w:numId w:val="2"/>
        </w:numPr>
        <w:spacing w:before="40" w:after="40"/>
      </w:pPr>
      <w:r>
        <w:rPr>
          <w:rFonts w:ascii="Arial" w:cs="Arial" w:eastAsia="Arial" w:hAnsi="Arial"/>
          <w:sz w:val="22"/>
          <w:szCs w:val="22"/>
        </w:rPr>
        <w:t xml:space="preserve">Any other damage to a person</w:t>
      </w:r>
    </w:p>
    <w:p>
      <w:pPr>
        <w:spacing w:before="60" w:after="60"/>
      </w:pPr>
      <w:r>
        <w:t xml:space="preserve"/>
      </w:r>
    </w:p>
    <w:p>
      <w:pPr>
        <w:spacing w:before="80" w:after="80"/>
      </w:pPr>
      <w:r>
        <w:rPr>
          <w:rFonts w:ascii="Arial" w:cs="Arial" w:eastAsia="Arial" w:hAnsi="Arial"/>
          <w:sz w:val="22"/>
          <w:szCs w:val="22"/>
        </w:rPr>
        <w:t xml:space="preserve">The organisation strictly prohibits all forms of Detrimental Conduct against any person involved in an investigation in response to their involvement. The organisation will take all reasonable steps to protect you from Detrimental Conduct and will take necessary action where such conduct is identified.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7.3  Protection of Confidentiality</w:t>
      </w:r>
    </w:p>
    <w:p>
      <w:pPr>
        <w:spacing w:before="80" w:after="80"/>
      </w:pPr>
      <w:r>
        <w:rPr>
          <w:rFonts w:ascii="Arial" w:cs="Arial" w:eastAsia="Arial" w:hAnsi="Arial"/>
          <w:sz w:val="22"/>
          <w:szCs w:val="22"/>
        </w:rPr>
        <w:t xml:space="preserve">All information received from you will be treated confidentially and sensitively. You will not be required to provide your name when making a disclosure.</w:t>
      </w:r>
    </w:p>
    <w:p>
      <w:pPr>
        <w:spacing w:before="80" w:after="80"/>
      </w:pPr>
      <w:r>
        <w:rPr>
          <w:rFonts w:ascii="Arial" w:cs="Arial" w:eastAsia="Arial" w:hAnsi="Arial"/>
          <w:sz w:val="22"/>
          <w:szCs w:val="22"/>
        </w:rPr>
        <w:t xml:space="preserve">If you make a disclosure under this policy, your identity (or any information likely to identify you) will only be shared if:</w:t>
      </w:r>
    </w:p>
    <w:p>
      <w:pPr>
        <w:pStyle w:val="ListParagraph"/>
        <w:numPr>
          <w:ilvl w:val="0"/>
          <w:numId w:val="2"/>
        </w:numPr>
        <w:spacing w:before="40" w:after="40"/>
      </w:pPr>
      <w:r>
        <w:rPr>
          <w:rFonts w:ascii="Arial" w:cs="Arial" w:eastAsia="Arial" w:hAnsi="Arial"/>
          <w:sz w:val="22"/>
          <w:szCs w:val="22"/>
        </w:rPr>
        <w:t xml:space="preserve">You give your consent to share that information; or</w:t>
      </w:r>
    </w:p>
    <w:p>
      <w:pPr>
        <w:pStyle w:val="ListParagraph"/>
        <w:numPr>
          <w:ilvl w:val="0"/>
          <w:numId w:val="2"/>
        </w:numPr>
        <w:spacing w:before="40" w:after="40"/>
      </w:pPr>
      <w:r>
        <w:rPr>
          <w:rFonts w:ascii="Arial" w:cs="Arial" w:eastAsia="Arial" w:hAnsi="Arial"/>
          <w:sz w:val="22"/>
          <w:szCs w:val="22"/>
        </w:rPr>
        <w:t xml:space="preserve">The disclosure is allowed or required by law; or</w:t>
      </w:r>
    </w:p>
    <w:p>
      <w:pPr>
        <w:pStyle w:val="ListParagraph"/>
        <w:numPr>
          <w:ilvl w:val="0"/>
          <w:numId w:val="2"/>
        </w:numPr>
        <w:spacing w:before="40" w:after="40"/>
      </w:pPr>
      <w:r>
        <w:rPr>
          <w:rFonts w:ascii="Arial" w:cs="Arial" w:eastAsia="Arial" w:hAnsi="Arial"/>
          <w:sz w:val="22"/>
          <w:szCs w:val="22"/>
        </w:rPr>
        <w:t xml:space="preserve">It is reported to the ATO or AFP.</w:t>
      </w:r>
    </w:p>
    <w:p>
      <w:pPr>
        <w:spacing w:before="80" w:after="80"/>
      </w:pPr>
      <w:r>
        <w:rPr>
          <w:rFonts w:ascii="Arial" w:cs="Arial" w:eastAsia="Arial" w:hAnsi="Arial"/>
          <w:sz w:val="22"/>
          <w:szCs w:val="22"/>
        </w:rPr>
        <w:t xml:space="preserve">The organisation will take the following measures to protect your identity:</w:t>
      </w:r>
    </w:p>
    <w:p>
      <w:pPr>
        <w:pStyle w:val="ListParagraph"/>
        <w:numPr>
          <w:ilvl w:val="0"/>
          <w:numId w:val="2"/>
        </w:numPr>
        <w:spacing w:before="40" w:after="40"/>
      </w:pPr>
      <w:r>
        <w:rPr>
          <w:rFonts w:ascii="Arial" w:cs="Arial" w:eastAsia="Arial" w:hAnsi="Arial"/>
          <w:sz w:val="22"/>
          <w:szCs w:val="22"/>
        </w:rPr>
        <w:t xml:space="preserve">All paper and electronic documents relating to disclosures will be stored securely.</w:t>
      </w:r>
    </w:p>
    <w:p>
      <w:pPr>
        <w:pStyle w:val="ListParagraph"/>
        <w:numPr>
          <w:ilvl w:val="0"/>
          <w:numId w:val="2"/>
        </w:numPr>
        <w:spacing w:before="40" w:after="40"/>
      </w:pPr>
      <w:r>
        <w:rPr>
          <w:rFonts w:ascii="Arial" w:cs="Arial" w:eastAsia="Arial" w:hAnsi="Arial"/>
          <w:sz w:val="22"/>
          <w:szCs w:val="22"/>
        </w:rPr>
        <w:t xml:space="preserve">Access to all information relating to a disclosure will be limited to those directly involved in managing and investigating the disclosure.</w:t>
      </w:r>
    </w:p>
    <w:p>
      <w:pPr>
        <w:pStyle w:val="ListParagraph"/>
        <w:numPr>
          <w:ilvl w:val="0"/>
          <w:numId w:val="2"/>
        </w:numPr>
        <w:spacing w:before="40" w:after="40"/>
      </w:pPr>
      <w:r>
        <w:rPr>
          <w:rFonts w:ascii="Arial" w:cs="Arial" w:eastAsia="Arial" w:hAnsi="Arial"/>
          <w:sz w:val="22"/>
          <w:szCs w:val="22"/>
        </w:rPr>
        <w:t xml:space="preserve">Communications and documents relating to the investigation will not be sent to email addresses or printers accessible by other staff.</w:t>
      </w:r>
    </w:p>
    <w:p>
      <w:pPr>
        <w:pStyle w:val="ListParagraph"/>
        <w:numPr>
          <w:ilvl w:val="0"/>
          <w:numId w:val="2"/>
        </w:numPr>
        <w:spacing w:before="40" w:after="40"/>
      </w:pPr>
      <w:r>
        <w:rPr>
          <w:rFonts w:ascii="Arial" w:cs="Arial" w:eastAsia="Arial" w:hAnsi="Arial"/>
          <w:sz w:val="22"/>
          <w:szCs w:val="22"/>
        </w:rPr>
        <w:t xml:space="preserve">Each person involved in handling and investigating a disclosure will be reminded about confidentiality requirements, including that unauthorised disclosure of your identity may be a criminal offence.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Support Available</w:t>
      </w:r>
    </w:p>
    <w:p>
      <w:pPr>
        <w:spacing w:before="80" w:after="80"/>
      </w:pPr>
      <w:r>
        <w:rPr>
          <w:rFonts w:ascii="Arial" w:cs="Arial" w:eastAsia="Arial" w:hAnsi="Arial"/>
          <w:sz w:val="22"/>
          <w:szCs w:val="22"/>
        </w:rPr>
        <w:t xml:space="preserve">Any employee who makes a disclosure under this policy or is implicated as a result of a disclosure may access the organisation's Employee Assistance Program (EAP), which is a free and confidential counselling service.</w:t>
      </w:r>
    </w:p>
    <w:p>
      <w:pPr>
        <w:spacing w:before="80" w:after="80"/>
      </w:pPr>
      <w:r>
        <w:rPr>
          <w:rFonts w:ascii="Arial" w:cs="Arial" w:eastAsia="Arial" w:hAnsi="Arial"/>
          <w:sz w:val="22"/>
          <w:szCs w:val="22"/>
        </w:rPr>
        <w:t xml:space="preserve">Where appropriate, the organisation may also appoint an independent support person to deal with any ongoing concerns. You may also access third-party support providers such as Lifeline (13 11 14) and Beyond Blue (1300 22 4636) for support.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Other Matters</w:t>
      </w:r>
    </w:p>
    <w:p>
      <w:pPr>
        <w:spacing w:before="80" w:after="80"/>
      </w:pPr>
      <w:r>
        <w:rPr>
          <w:rFonts w:ascii="Arial" w:cs="Arial" w:eastAsia="Arial" w:hAnsi="Arial"/>
          <w:sz w:val="22"/>
          <w:szCs w:val="22"/>
        </w:rPr>
        <w:t xml:space="preserve">Any breach of this policy will be taken seriously and may result in disciplinary action, up to and including termination of employment.</w:t>
      </w:r>
    </w:p>
    <w:p>
      <w:pPr>
        <w:spacing w:before="80" w:after="80"/>
      </w:pPr>
      <w:r>
        <w:rPr>
          <w:rFonts w:ascii="Arial" w:cs="Arial" w:eastAsia="Arial" w:hAnsi="Arial"/>
          <w:sz w:val="22"/>
          <w:szCs w:val="22"/>
        </w:rPr>
        <w:t xml:space="preserve">In so far as this policy imposes any obligations on the organisation, those obligations are not contractual and do not give rise to any contractual rights. The organisation may unilaterally introduce, vary, remove, or replace this policy at any time.</w:t>
      </w:r>
    </w:p>
    <w:p>
      <w:pPr>
        <w:spacing w:before="80" w:after="80"/>
      </w:pPr>
      <w:r>
        <w:rPr>
          <w:rFonts w:ascii="Arial" w:cs="Arial" w:eastAsia="Arial" w:hAnsi="Arial"/>
          <w:sz w:val="22"/>
          <w:szCs w:val="22"/>
        </w:rPr>
        <w:t xml:space="preserve">Employees are encouraged to read this policy in conjunction with other relevant organisational policies.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Policy Review</w:t>
      </w:r>
    </w:p>
    <w:p>
      <w:pPr>
        <w:spacing w:before="80" w:after="80"/>
      </w:pPr>
      <w:r>
        <w:rPr>
          <w:rFonts w:ascii="Arial" w:cs="Arial" w:eastAsia="Arial" w:hAnsi="Arial"/>
          <w:sz w:val="22"/>
          <w:szCs w:val="22"/>
        </w:rPr>
        <w:t xml:space="preserve">This policy shall be reviewed at least annually or as required by updates to the Corporations Act 2001 (Cth) or related regulatory guidance.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11.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2026-03-30T14:15:04.187Z</dcterms:created>
  <dcterms:modified xsi:type="dcterms:W3CDTF">2026-03-30T14:15:04.187Z</dcterms:modified>
</cp:coreProperties>
</file>

<file path=docProps/custom.xml><?xml version="1.0" encoding="utf-8"?>
<Properties xmlns="http://schemas.openxmlformats.org/officeDocument/2006/custom-properties" xmlns:vt="http://schemas.openxmlformats.org/officeDocument/2006/docPropsVTypes"/>
</file>