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CRYPTOGRAPHIC CONTROL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Cryptographic Control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POL-SEC-001</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A.8.24 — Use of cryptography</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protection of information through cryptographic means is a critical control for any organisation handling sensitive data. This policy outlines the organisation's approach to selecting, implementing, and managing cryptographic mechanisms to ensure information remains protected from unauthorised access or tampering, whether being stored or transmitted.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standards and methodology governing the use and management of cryptographic controls across the organisation's systems, services, and communications. It ensures consistency, security, and alignment with ISO/IEC 27001:2022 and recognised industry frameworks.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These requirements apply to all information systems, services, and personnel that interact with or rely upon encryption mechanisms within the organisation's environment.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Cryptography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application of mathematical algorithms to protect the confidentiality, integrity, and authenticity of information.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Data in Transit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Information actively moving across networks, communication channels, or remote connections.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at Rest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stored on devices, servers, or cloud repositories rather than actively moving.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Asymmetric Encryption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 encryption approach using a paired public and private key for secure key exchange and digital signatures.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Symmetric Encryption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 encryption approach where the same key is used for both encrypting and decrypting data.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Hash Function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one-way algorithm converting input data into a fixed-length output, used to verify integrity and authenticity.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Secure Shell (SSH)</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network protocol enabling secure, encrypted remote access and management of systems over untrusted networks.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Post-Quantum Cryptography (PQC)</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Cryptographic algorithms designed to be secure against attacks by both classical and quantum computers.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Harvest Now Decrypt Later (HNDL)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 attack strategy where encrypted data is intercepted and stored today for future decryption once quantum computing capability is available.</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Encryption Requirements</w:t>
      </w:r>
    </w:p>
    <w:p>
      <w:pPr>
        <w:spacing w:before="80" w:after="80"/>
      </w:pPr>
      <w:r>
        <w:rPr>
          <w:rFonts w:ascii="Arial" w:cs="Arial" w:eastAsia="Arial" w:hAnsi="Arial"/>
          <w:sz w:val="22"/>
          <w:szCs w:val="22"/>
        </w:rPr>
        <w:t xml:space="preserve">The organisation applies encryption controls based on how information is being used. Two primary contexts are recognised:</w:t>
      </w:r>
    </w:p>
    <w:p>
      <w:pPr>
        <w:spacing w:before="80" w:after="80"/>
      </w:pPr>
      <w:r>
        <w:rPr>
          <w:rFonts w:ascii="Arial" w:cs="Arial" w:eastAsia="Arial" w:hAnsi="Arial"/>
          <w:b/>
          <w:bCs/>
          <w:sz w:val="22"/>
          <w:szCs w:val="22"/>
        </w:rPr>
        <w:t xml:space="preserve">Data in Transit: </w:t>
      </w:r>
      <w:r>
        <w:rPr>
          <w:rFonts w:ascii="Arial" w:cs="Arial" w:eastAsia="Arial" w:hAnsi="Arial"/>
          <w:sz w:val="22"/>
          <w:szCs w:val="22"/>
        </w:rPr>
        <w:t xml:space="preserve">Covers information moving across networks. All channels must implement an approved encryption protocol.</w:t>
      </w:r>
    </w:p>
    <w:p>
      <w:pPr>
        <w:spacing w:before="80" w:after="80"/>
      </w:pPr>
      <w:r>
        <w:rPr>
          <w:rFonts w:ascii="Arial" w:cs="Arial" w:eastAsia="Arial" w:hAnsi="Arial"/>
          <w:b/>
          <w:bCs/>
          <w:sz w:val="22"/>
          <w:szCs w:val="22"/>
        </w:rPr>
        <w:t xml:space="preserve">Data at Rest: </w:t>
      </w:r>
      <w:r>
        <w:rPr>
          <w:rFonts w:ascii="Arial" w:cs="Arial" w:eastAsia="Arial" w:hAnsi="Arial"/>
          <w:sz w:val="22"/>
          <w:szCs w:val="22"/>
        </w:rPr>
        <w:t xml:space="preserve">Covers information stored on devices or repositories. All systems holding sensitive data must apply encryption at the storage level.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26"/>
        <w:gridCol w:w="180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Encryption Type</w:t>
            </w:r>
          </w:p>
        </w:tc>
        <w:tc>
          <w:tcPr>
            <w:tcW w:type="dxa" w:w="4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Algorithm</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Minimum Key Strength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Asymmetric</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Diffie-Hellman (DH)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2048 bits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Asymmetric</w:t>
            </w:r>
          </w:p>
        </w:tc>
        <w:tc>
          <w:tcPr>
            <w:tcW w:type="dxa" w:w="4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Elliptic Curve Diffie-Hellman (ECDH)</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256 bits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Asymmetric</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Digital Signature Algorithm (DSA)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2048 bits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Asymmetric</w:t>
            </w:r>
          </w:p>
        </w:tc>
        <w:tc>
          <w:tcPr>
            <w:tcW w:type="dxa" w:w="4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Elliptic Curve DSA (ECDSA)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256 bits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Asymmetric</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RSA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2048 bits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Symmetric</w:t>
            </w:r>
          </w:p>
        </w:tc>
        <w:tc>
          <w:tcPr>
            <w:tcW w:type="dxa" w:w="4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Advanced Encryption Standard (AES)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256 bits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Hashing</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Secure Hashing Algorithm (SHA)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256 bits</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5.2  Approved Cryptographic Protocols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Protocol</w:t>
            </w:r>
          </w:p>
        </w:tc>
        <w:tc>
          <w:tcPr>
            <w:tcW w:type="dxa" w:w="65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Requirements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TLS</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Minimum TLS 1.2; TLS 1.3 preferred. SSL in any version is prohibited.</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SSH</w:t>
            </w:r>
          </w:p>
        </w:tc>
        <w:tc>
          <w:tcPr>
            <w:tcW w:type="dxa" w:w="6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Approved for remote command-line access. SSH version 2 minimum.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IPSec</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For VPN tunnels. ESP mode preferred over AH.</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WPA2</w:t>
            </w:r>
          </w:p>
        </w:tc>
        <w:tc>
          <w:tcPr>
            <w:tcW w:type="dxa" w:w="6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Minimum for wireless communications; WPA3 preferred where available.</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5.3  Sending Sensitive Information Externally</w:t>
      </w:r>
    </w:p>
    <w:p>
      <w:pPr>
        <w:spacing w:before="80" w:after="80"/>
      </w:pPr>
      <w:r>
        <w:rPr>
          <w:rFonts w:ascii="Arial" w:cs="Arial" w:eastAsia="Arial" w:hAnsi="Arial"/>
          <w:sz w:val="22"/>
          <w:szCs w:val="22"/>
        </w:rPr>
        <w:t xml:space="preserve">Personnel must use a secure file exchange mechanism when sharing sensitive information externally. Where unavailable, encrypted document delivery via email is permitted provided the encryption meets minimum key strength requirements. Plain-text transmission of sensitive information is not permitted.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Use of Secure Shell (SSH)</w:t>
      </w:r>
    </w:p>
    <w:p>
      <w:pPr>
        <w:spacing w:before="80" w:after="80"/>
      </w:pPr>
      <w:r>
        <w:rPr>
          <w:rFonts w:ascii="Arial" w:cs="Arial" w:eastAsia="Arial" w:hAnsi="Arial"/>
          <w:sz w:val="22"/>
          <w:szCs w:val="22"/>
        </w:rPr>
        <w:t xml:space="preserve">SSH is the approved method for secure remote administrative access. Requirements:</w:t>
      </w:r>
    </w:p>
    <w:p>
      <w:pPr>
        <w:pStyle w:val="ListParagraph"/>
        <w:numPr>
          <w:ilvl w:val="0"/>
          <w:numId w:val="2"/>
        </w:numPr>
        <w:spacing w:before="40" w:after="40"/>
      </w:pPr>
      <w:r>
        <w:rPr>
          <w:rFonts w:ascii="Arial" w:cs="Arial" w:eastAsia="Arial" w:hAnsi="Arial"/>
          <w:sz w:val="22"/>
          <w:szCs w:val="22"/>
        </w:rPr>
        <w:t xml:space="preserve">Access limited to authorised personnel with a defined business need.</w:t>
      </w:r>
    </w:p>
    <w:p>
      <w:pPr>
        <w:pStyle w:val="ListParagraph"/>
        <w:numPr>
          <w:ilvl w:val="0"/>
          <w:numId w:val="2"/>
        </w:numPr>
        <w:spacing w:before="40" w:after="40"/>
      </w:pPr>
      <w:r>
        <w:rPr>
          <w:rFonts w:ascii="Arial" w:cs="Arial" w:eastAsia="Arial" w:hAnsi="Arial"/>
          <w:sz w:val="22"/>
          <w:szCs w:val="22"/>
        </w:rPr>
        <w:t xml:space="preserve">Key-based authentication preferred over password-based authentication.</w:t>
      </w:r>
    </w:p>
    <w:p>
      <w:pPr>
        <w:pStyle w:val="ListParagraph"/>
        <w:numPr>
          <w:ilvl w:val="0"/>
          <w:numId w:val="2"/>
        </w:numPr>
        <w:spacing w:before="40" w:after="40"/>
      </w:pPr>
      <w:r>
        <w:rPr>
          <w:rFonts w:ascii="Arial" w:cs="Arial" w:eastAsia="Arial" w:hAnsi="Arial"/>
          <w:sz w:val="22"/>
          <w:szCs w:val="22"/>
        </w:rPr>
        <w:t xml:space="preserve">Multi-factor authentication and role-based access controls applied where possible.</w:t>
      </w:r>
    </w:p>
    <w:p>
      <w:pPr>
        <w:pStyle w:val="ListParagraph"/>
        <w:numPr>
          <w:ilvl w:val="0"/>
          <w:numId w:val="2"/>
        </w:numPr>
        <w:spacing w:before="40" w:after="40"/>
      </w:pPr>
      <w:r>
        <w:rPr>
          <w:rFonts w:ascii="Arial" w:cs="Arial" w:eastAsia="Arial" w:hAnsi="Arial"/>
          <w:sz w:val="22"/>
          <w:szCs w:val="22"/>
        </w:rPr>
        <w:t xml:space="preserve">Only current, supported protocol versions and algorithms permitted.</w:t>
      </w:r>
    </w:p>
    <w:p>
      <w:pPr>
        <w:pStyle w:val="ListParagraph"/>
        <w:numPr>
          <w:ilvl w:val="0"/>
          <w:numId w:val="2"/>
        </w:numPr>
        <w:spacing w:before="40" w:after="40"/>
      </w:pPr>
      <w:r>
        <w:rPr>
          <w:rFonts w:ascii="Arial" w:cs="Arial" w:eastAsia="Arial" w:hAnsi="Arial"/>
          <w:sz w:val="22"/>
          <w:szCs w:val="22"/>
        </w:rPr>
        <w:t xml:space="preserve">All SSH sessions must be logged and retained per the Logging and Monitoring Policy.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Cryptographic Key Management</w:t>
      </w:r>
    </w:p>
    <w:p>
      <w:pPr>
        <w:spacing w:before="80" w:after="80"/>
      </w:pPr>
      <w:r>
        <w:rPr>
          <w:rFonts w:ascii="Arial" w:cs="Arial" w:eastAsia="Arial" w:hAnsi="Arial"/>
          <w:sz w:val="22"/>
          <w:szCs w:val="22"/>
        </w:rPr>
        <w:t xml:space="preserve">A designated Key Manager is responsible for:</w:t>
      </w:r>
    </w:p>
    <w:p>
      <w:pPr>
        <w:pStyle w:val="ListParagraph"/>
        <w:numPr>
          <w:ilvl w:val="0"/>
          <w:numId w:val="2"/>
        </w:numPr>
        <w:spacing w:before="40" w:after="40"/>
      </w:pPr>
      <w:r>
        <w:rPr>
          <w:rFonts w:ascii="Arial" w:cs="Arial" w:eastAsia="Arial" w:hAnsi="Arial"/>
          <w:sz w:val="22"/>
          <w:szCs w:val="22"/>
        </w:rPr>
        <w:t xml:space="preserve">Generation of cryptographic key pairs</w:t>
      </w:r>
    </w:p>
    <w:p>
      <w:pPr>
        <w:pStyle w:val="ListParagraph"/>
        <w:numPr>
          <w:ilvl w:val="0"/>
          <w:numId w:val="2"/>
        </w:numPr>
        <w:spacing w:before="40" w:after="40"/>
      </w:pPr>
      <w:r>
        <w:rPr>
          <w:rFonts w:ascii="Arial" w:cs="Arial" w:eastAsia="Arial" w:hAnsi="Arial"/>
          <w:sz w:val="22"/>
          <w:szCs w:val="22"/>
        </w:rPr>
        <w:t xml:space="preserve">Controlled activation and distribution of keys</w:t>
      </w:r>
    </w:p>
    <w:p>
      <w:pPr>
        <w:pStyle w:val="ListParagraph"/>
        <w:numPr>
          <w:ilvl w:val="0"/>
          <w:numId w:val="2"/>
        </w:numPr>
        <w:spacing w:before="40" w:after="40"/>
      </w:pPr>
      <w:r>
        <w:rPr>
          <w:rFonts w:ascii="Arial" w:cs="Arial" w:eastAsia="Arial" w:hAnsi="Arial"/>
          <w:sz w:val="22"/>
          <w:szCs w:val="22"/>
        </w:rPr>
        <w:t xml:space="preserve">Setting and enforcing key expiry and rotation schedules</w:t>
      </w:r>
    </w:p>
    <w:p>
      <w:pPr>
        <w:pStyle w:val="ListParagraph"/>
        <w:numPr>
          <w:ilvl w:val="0"/>
          <w:numId w:val="2"/>
        </w:numPr>
        <w:spacing w:before="40" w:after="40"/>
      </w:pPr>
      <w:r>
        <w:rPr>
          <w:rFonts w:ascii="Arial" w:cs="Arial" w:eastAsia="Arial" w:hAnsi="Arial"/>
          <w:sz w:val="22"/>
          <w:szCs w:val="22"/>
        </w:rPr>
        <w:t xml:space="preserve">Secure archiving of inactive keys</w:t>
      </w:r>
    </w:p>
    <w:p>
      <w:pPr>
        <w:pStyle w:val="ListParagraph"/>
        <w:numPr>
          <w:ilvl w:val="0"/>
          <w:numId w:val="2"/>
        </w:numPr>
        <w:spacing w:before="40" w:after="40"/>
      </w:pPr>
      <w:r>
        <w:rPr>
          <w:rFonts w:ascii="Arial" w:cs="Arial" w:eastAsia="Arial" w:hAnsi="Arial"/>
          <w:sz w:val="22"/>
          <w:szCs w:val="22"/>
        </w:rPr>
        <w:t xml:space="preserve">Safe destruction of keys that are no longer required</w:t>
      </w:r>
    </w:p>
    <w:p>
      <w:pPr>
        <w:spacing w:before="80" w:after="80"/>
      </w:pPr>
      <w:r>
        <w:rPr>
          <w:rFonts w:ascii="Arial" w:cs="Arial" w:eastAsia="Arial" w:hAnsi="Arial"/>
          <w:sz w:val="22"/>
          <w:szCs w:val="22"/>
        </w:rPr>
        <w:t xml:space="preserve">Key management procedures are documented and maintained in the organisation's internal knowledge base.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Storage of Cryptographic Keys</w:t>
      </w:r>
    </w:p>
    <w:p>
      <w:pPr>
        <w:spacing w:before="80" w:after="80"/>
      </w:pPr>
      <w:r>
        <w:rPr>
          <w:rFonts w:ascii="Arial" w:cs="Arial" w:eastAsia="Arial" w:hAnsi="Arial"/>
          <w:sz w:val="22"/>
          <w:szCs w:val="22"/>
        </w:rPr>
        <w:t xml:space="preserve">Cryptographic keys must be stored in approved, access-controlled platforms meeting the following minimum controls:</w:t>
      </w:r>
    </w:p>
    <w:p>
      <w:pPr>
        <w:pStyle w:val="ListParagraph"/>
        <w:numPr>
          <w:ilvl w:val="0"/>
          <w:numId w:val="2"/>
        </w:numPr>
        <w:spacing w:before="40" w:after="40"/>
      </w:pPr>
      <w:r>
        <w:rPr>
          <w:rFonts w:ascii="Arial" w:cs="Arial" w:eastAsia="Arial" w:hAnsi="Arial"/>
          <w:sz w:val="22"/>
          <w:szCs w:val="22"/>
        </w:rPr>
        <w:t xml:space="preserve">Access controlled via SSO with multi-factor authentication enforced.</w:t>
      </w:r>
    </w:p>
    <w:p>
      <w:pPr>
        <w:pStyle w:val="ListParagraph"/>
        <w:numPr>
          <w:ilvl w:val="0"/>
          <w:numId w:val="2"/>
        </w:numPr>
        <w:spacing w:before="40" w:after="40"/>
      </w:pPr>
      <w:r>
        <w:rPr>
          <w:rFonts w:ascii="Arial" w:cs="Arial" w:eastAsia="Arial" w:hAnsi="Arial"/>
          <w:sz w:val="22"/>
          <w:szCs w:val="22"/>
        </w:rPr>
        <w:t xml:space="preserve">Access is role-based and limited to personnel with justified need.</w:t>
      </w:r>
    </w:p>
    <w:p>
      <w:pPr>
        <w:pStyle w:val="ListParagraph"/>
        <w:numPr>
          <w:ilvl w:val="0"/>
          <w:numId w:val="2"/>
        </w:numPr>
        <w:spacing w:before="40" w:after="40"/>
      </w:pPr>
      <w:r>
        <w:rPr>
          <w:rFonts w:ascii="Arial" w:cs="Arial" w:eastAsia="Arial" w:hAnsi="Arial"/>
          <w:sz w:val="22"/>
          <w:szCs w:val="22"/>
        </w:rPr>
        <w:t xml:space="preserve">All stored credentials encrypted in accordance with this policy.</w:t>
      </w:r>
    </w:p>
    <w:p>
      <w:pPr>
        <w:spacing w:before="80" w:after="80"/>
      </w:pPr>
      <w:r>
        <w:rPr>
          <w:rFonts w:ascii="Arial" w:cs="Arial" w:eastAsia="Arial" w:hAnsi="Arial"/>
          <w:sz w:val="22"/>
          <w:szCs w:val="22"/>
        </w:rPr>
        <w:t xml:space="preserve">Approved storage platforms are the organisation's credential management platform and cryptographic key management tool. Keys must never be stored in plain text or embedded in scripts.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Endpoint Disk Encryption</w:t>
      </w:r>
    </w:p>
    <w:p>
      <w:pPr>
        <w:spacing w:before="80" w:after="80"/>
      </w:pPr>
      <w:r>
        <w:rPr>
          <w:rFonts w:ascii="Arial" w:cs="Arial" w:eastAsia="Arial" w:hAnsi="Arial"/>
          <w:sz w:val="22"/>
          <w:szCs w:val="22"/>
        </w:rPr>
        <w:t xml:space="preserve">All devices used to interact with the organisation's information systems must have full-disk encryption enabled using AES-256, managed via the organisation's endpoint management solution.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Quantum Cryptographic Risk Management</w:t>
      </w:r>
    </w:p>
    <w:p>
      <w:pPr>
        <w:spacing w:before="80" w:after="80"/>
      </w:pPr>
      <w:r>
        <w:rPr>
          <w:rFonts w:ascii="Arial" w:cs="Arial" w:eastAsia="Arial" w:hAnsi="Arial"/>
          <w:sz w:val="22"/>
          <w:szCs w:val="22"/>
        </w:rPr>
        <w:t xml:space="preserve">The organisation recognises that advances in quantum computing present a credible and growing threat to currently deployed cryptographic controls. This section establishes the organisation's requirements for managing quantum cryptographic risk as a formal, ongoing program — not simply a future consideration.</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5.8.1  Nature of the Quantum Cryptographic Threat</w:t>
      </w:r>
    </w:p>
    <w:p>
      <w:pPr>
        <w:spacing w:before="80" w:after="80"/>
      </w:pPr>
      <w:r>
        <w:rPr>
          <w:rFonts w:ascii="Arial" w:cs="Arial" w:eastAsia="Arial" w:hAnsi="Arial"/>
          <w:sz w:val="22"/>
          <w:szCs w:val="22"/>
        </w:rPr>
        <w:t xml:space="preserve">Quantum computers, when sufficiently capable, will be able to break widely deployed asymmetric cryptographic algorithms including RSA, Diffie-Hellman, and Elliptic Curve Cryptography. These algorithms underpin the majority of current key exchange, digital signature, and certificate infrastructure. Symmetric algorithms such as AES-256 and hash functions such as SHA-256 are expected to remain secure with current key lengths, though this must be monitored as standards evolve.</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5.8.2  Harvest Now, Decrypt Later (HNDL) Risk</w:t>
      </w:r>
    </w:p>
    <w:p>
      <w:pPr>
        <w:spacing w:before="80" w:after="80"/>
      </w:pPr>
      <w:r>
        <w:rPr>
          <w:rFonts w:ascii="Arial" w:cs="Arial" w:eastAsia="Arial" w:hAnsi="Arial"/>
          <w:sz w:val="22"/>
          <w:szCs w:val="22"/>
        </w:rPr>
        <w:t xml:space="preserve">The organisation acknowledges that adversaries may currently be intercepting and storing encrypted communications with the intent of decrypting them once quantum capability is available. This risk, known as Harvest Now, Decrypt Later, is relevant to any information that must remain confidential for more than a few years, including:</w:t>
      </w:r>
    </w:p>
    <w:p>
      <w:pPr>
        <w:pStyle w:val="ListParagraph"/>
        <w:numPr>
          <w:ilvl w:val="0"/>
          <w:numId w:val="2"/>
        </w:numPr>
        <w:spacing w:before="40" w:after="40"/>
      </w:pPr>
      <w:r>
        <w:rPr>
          <w:rFonts w:ascii="Arial" w:cs="Arial" w:eastAsia="Arial" w:hAnsi="Arial"/>
          <w:sz w:val="22"/>
          <w:szCs w:val="22"/>
        </w:rPr>
        <w:t xml:space="preserve">Client system architecture, credentials, and network configurations retained under managed service arrangements</w:t>
      </w:r>
    </w:p>
    <w:p>
      <w:pPr>
        <w:pStyle w:val="ListParagraph"/>
        <w:numPr>
          <w:ilvl w:val="0"/>
          <w:numId w:val="2"/>
        </w:numPr>
        <w:spacing w:before="40" w:after="40"/>
      </w:pPr>
      <w:r>
        <w:rPr>
          <w:rFonts w:ascii="Arial" w:cs="Arial" w:eastAsia="Arial" w:hAnsi="Arial"/>
          <w:sz w:val="22"/>
          <w:szCs w:val="22"/>
        </w:rPr>
        <w:t xml:space="preserve">Long-lived contractual, financial, or strategic information</w:t>
      </w:r>
    </w:p>
    <w:p>
      <w:pPr>
        <w:pStyle w:val="ListParagraph"/>
        <w:numPr>
          <w:ilvl w:val="0"/>
          <w:numId w:val="2"/>
        </w:numPr>
        <w:spacing w:before="40" w:after="40"/>
      </w:pPr>
      <w:r>
        <w:rPr>
          <w:rFonts w:ascii="Arial" w:cs="Arial" w:eastAsia="Arial" w:hAnsi="Arial"/>
          <w:sz w:val="22"/>
          <w:szCs w:val="22"/>
        </w:rPr>
        <w:t xml:space="preserve">Data subject to legal privilege or regulatory protection</w:t>
      </w:r>
    </w:p>
    <w:p>
      <w:pPr>
        <w:pStyle w:val="ListParagraph"/>
        <w:numPr>
          <w:ilvl w:val="0"/>
          <w:numId w:val="2"/>
        </w:numPr>
        <w:spacing w:before="40" w:after="40"/>
      </w:pPr>
      <w:r>
        <w:rPr>
          <w:rFonts w:ascii="Arial" w:cs="Arial" w:eastAsia="Arial" w:hAnsi="Arial"/>
          <w:sz w:val="22"/>
          <w:szCs w:val="22"/>
        </w:rPr>
        <w:t xml:space="preserve">Intellectual property and proprietary technical designs</w:t>
      </w:r>
    </w:p>
    <w:p>
      <w:pPr>
        <w:spacing w:before="80" w:after="80"/>
      </w:pPr>
      <w:r>
        <w:rPr>
          <w:rFonts w:ascii="Arial" w:cs="Arial" w:eastAsia="Arial" w:hAnsi="Arial"/>
          <w:sz w:val="22"/>
          <w:szCs w:val="22"/>
        </w:rPr>
        <w:t xml:space="preserve">The organisation must assess which data assets are most exposed to HNDL risk and prioritise migration planning accordingly.</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5.8.3  Cryptographic Inventory</w:t>
      </w:r>
    </w:p>
    <w:p>
      <w:pPr>
        <w:spacing w:before="80" w:after="80"/>
      </w:pPr>
      <w:r>
        <w:rPr>
          <w:rFonts w:ascii="Arial" w:cs="Arial" w:eastAsia="Arial" w:hAnsi="Arial"/>
          <w:sz w:val="22"/>
          <w:szCs w:val="22"/>
        </w:rPr>
        <w:t xml:space="preserve">As a prerequisite for migration planning, the organisation must maintain a current inventory of cryptographic dependencies. This inventory must capture:</w:t>
      </w:r>
    </w:p>
    <w:p>
      <w:pPr>
        <w:pStyle w:val="ListParagraph"/>
        <w:numPr>
          <w:ilvl w:val="0"/>
          <w:numId w:val="2"/>
        </w:numPr>
        <w:spacing w:before="40" w:after="40"/>
      </w:pPr>
      <w:r>
        <w:rPr>
          <w:rFonts w:ascii="Arial" w:cs="Arial" w:eastAsia="Arial" w:hAnsi="Arial"/>
          <w:sz w:val="22"/>
          <w:szCs w:val="22"/>
        </w:rPr>
        <w:t xml:space="preserve">All systems and services that rely on asymmetric cryptographic algorithms for authentication, key exchange, or digital signatures</w:t>
      </w:r>
    </w:p>
    <w:p>
      <w:pPr>
        <w:pStyle w:val="ListParagraph"/>
        <w:numPr>
          <w:ilvl w:val="0"/>
          <w:numId w:val="2"/>
        </w:numPr>
        <w:spacing w:before="40" w:after="40"/>
      </w:pPr>
      <w:r>
        <w:rPr>
          <w:rFonts w:ascii="Arial" w:cs="Arial" w:eastAsia="Arial" w:hAnsi="Arial"/>
          <w:sz w:val="22"/>
          <w:szCs w:val="22"/>
        </w:rPr>
        <w:t xml:space="preserve">Certificate authorities, public key infrastructure (PKI) components, and VPN configurations</w:t>
      </w:r>
    </w:p>
    <w:p>
      <w:pPr>
        <w:pStyle w:val="ListParagraph"/>
        <w:numPr>
          <w:ilvl w:val="0"/>
          <w:numId w:val="2"/>
        </w:numPr>
        <w:spacing w:before="40" w:after="40"/>
      </w:pPr>
      <w:r>
        <w:rPr>
          <w:rFonts w:ascii="Arial" w:cs="Arial" w:eastAsia="Arial" w:hAnsi="Arial"/>
          <w:sz w:val="22"/>
          <w:szCs w:val="22"/>
        </w:rPr>
        <w:t xml:space="preserve">Third-party integrations and vendor-managed systems that use cryptography</w:t>
      </w:r>
    </w:p>
    <w:p>
      <w:pPr>
        <w:pStyle w:val="ListParagraph"/>
        <w:numPr>
          <w:ilvl w:val="0"/>
          <w:numId w:val="2"/>
        </w:numPr>
        <w:spacing w:before="40" w:after="40"/>
      </w:pPr>
      <w:r>
        <w:rPr>
          <w:rFonts w:ascii="Arial" w:cs="Arial" w:eastAsia="Arial" w:hAnsi="Arial"/>
          <w:sz w:val="22"/>
          <w:szCs w:val="22"/>
        </w:rPr>
        <w:t xml:space="preserve">Data assets classified as Restricted or Confidential that are encrypted and retained long-term</w:t>
      </w:r>
    </w:p>
    <w:p>
      <w:pPr>
        <w:spacing w:before="80" w:after="80"/>
      </w:pPr>
      <w:r>
        <w:rPr>
          <w:rFonts w:ascii="Arial" w:cs="Arial" w:eastAsia="Arial" w:hAnsi="Arial"/>
          <w:sz w:val="22"/>
          <w:szCs w:val="22"/>
        </w:rPr>
        <w:t xml:space="preserve">The cryptographic inventory is owned by the Information Security Officer and must be reviewed at least annually.</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5.8.4  Post-Quantum Cryptography (PQC) Standards</w:t>
      </w:r>
    </w:p>
    <w:p>
      <w:pPr>
        <w:spacing w:before="80" w:after="80"/>
      </w:pPr>
      <w:r>
        <w:rPr>
          <w:rFonts w:ascii="Arial" w:cs="Arial" w:eastAsia="Arial" w:hAnsi="Arial"/>
          <w:sz w:val="22"/>
          <w:szCs w:val="22"/>
        </w:rPr>
        <w:t xml:space="preserve">The National Institute of Standards and Technology (NIST) has standardised the first post-quantum cryptographic algorithms following its multi-year evaluation process. The organisation's migration planning must reference the following approved NIST PQC standards and equivalent guidance from the Australian Signals Directorate (ASD) and the Australian Cyber Security Centre (ACSC):</w:t>
      </w:r>
    </w:p>
    <w:p>
      <w:pPr>
        <w:pStyle w:val="ListParagraph"/>
        <w:numPr>
          <w:ilvl w:val="0"/>
          <w:numId w:val="2"/>
        </w:numPr>
        <w:spacing w:before="40" w:after="40"/>
      </w:pPr>
      <w:r>
        <w:rPr>
          <w:rFonts w:ascii="Arial" w:cs="Arial" w:eastAsia="Arial" w:hAnsi="Arial"/>
          <w:sz w:val="22"/>
          <w:szCs w:val="22"/>
        </w:rPr>
        <w:t xml:space="preserve">NIST FIPS 203 — ML-KEM (Module-Lattice-Based Key Encapsulation Mechanism) — for key establishment</w:t>
      </w:r>
    </w:p>
    <w:p>
      <w:pPr>
        <w:pStyle w:val="ListParagraph"/>
        <w:numPr>
          <w:ilvl w:val="0"/>
          <w:numId w:val="2"/>
        </w:numPr>
        <w:spacing w:before="40" w:after="40"/>
      </w:pPr>
      <w:r>
        <w:rPr>
          <w:rFonts w:ascii="Arial" w:cs="Arial" w:eastAsia="Arial" w:hAnsi="Arial"/>
          <w:sz w:val="22"/>
          <w:szCs w:val="22"/>
        </w:rPr>
        <w:t xml:space="preserve">NIST FIPS 204 — ML-DSA (Module-Lattice-Based Digital Signature Algorithm) — for digital signatures</w:t>
      </w:r>
    </w:p>
    <w:p>
      <w:pPr>
        <w:pStyle w:val="ListParagraph"/>
        <w:numPr>
          <w:ilvl w:val="0"/>
          <w:numId w:val="2"/>
        </w:numPr>
        <w:spacing w:before="40" w:after="40"/>
      </w:pPr>
      <w:r>
        <w:rPr>
          <w:rFonts w:ascii="Arial" w:cs="Arial" w:eastAsia="Arial" w:hAnsi="Arial"/>
          <w:sz w:val="22"/>
          <w:szCs w:val="22"/>
        </w:rPr>
        <w:t xml:space="preserve">NIST FIPS 205 — SLH-DSA (Stateless Hash-Based Digital Signature Standard) — for digital signatures</w:t>
      </w:r>
    </w:p>
    <w:p>
      <w:pPr>
        <w:spacing w:before="80" w:after="80"/>
      </w:pPr>
      <w:r>
        <w:rPr>
          <w:rFonts w:ascii="Arial" w:cs="Arial" w:eastAsia="Arial" w:hAnsi="Arial"/>
          <w:sz w:val="22"/>
          <w:szCs w:val="22"/>
        </w:rPr>
        <w:t xml:space="preserve">The organisation must monitor ongoing guidance from NIST, ASD, and ACSC as the PQC standards landscape continues to develop, and must update its migration plan in response to material changes.</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5.8.5  Quantum Cryptographic Migration Planning</w:t>
      </w:r>
    </w:p>
    <w:p>
      <w:pPr>
        <w:spacing w:before="80" w:after="80"/>
      </w:pPr>
      <w:r>
        <w:rPr>
          <w:rFonts w:ascii="Arial" w:cs="Arial" w:eastAsia="Arial" w:hAnsi="Arial"/>
          <w:sz w:val="22"/>
          <w:szCs w:val="22"/>
        </w:rPr>
        <w:t xml:space="preserve">The Information Security Officer is responsible for developing and maintaining a Quantum Cryptographic Migration Plan. This plan must:</w:t>
      </w:r>
    </w:p>
    <w:p>
      <w:pPr>
        <w:pStyle w:val="ListParagraph"/>
        <w:numPr>
          <w:ilvl w:val="0"/>
          <w:numId w:val="2"/>
        </w:numPr>
        <w:spacing w:before="40" w:after="40"/>
      </w:pPr>
      <w:r>
        <w:rPr>
          <w:rFonts w:ascii="Arial" w:cs="Arial" w:eastAsia="Arial" w:hAnsi="Arial"/>
          <w:sz w:val="22"/>
          <w:szCs w:val="22"/>
        </w:rPr>
        <w:t xml:space="preserve">Prioritise migration based on data sensitivity and estimated confidentiality lifespan, with highest-risk assets addressed first</w:t>
      </w:r>
    </w:p>
    <w:p>
      <w:pPr>
        <w:pStyle w:val="ListParagraph"/>
        <w:numPr>
          <w:ilvl w:val="0"/>
          <w:numId w:val="2"/>
        </w:numPr>
        <w:spacing w:before="40" w:after="40"/>
      </w:pPr>
      <w:r>
        <w:rPr>
          <w:rFonts w:ascii="Arial" w:cs="Arial" w:eastAsia="Arial" w:hAnsi="Arial"/>
          <w:sz w:val="22"/>
          <w:szCs w:val="22"/>
        </w:rPr>
        <w:t xml:space="preserve">Adopt a hybrid cryptographic approach during the transition period, using both classical and post-quantum algorithms in parallel where technically feasible, to maintain compatibility while improving quantum resistance</w:t>
      </w:r>
    </w:p>
    <w:p>
      <w:pPr>
        <w:pStyle w:val="ListParagraph"/>
        <w:numPr>
          <w:ilvl w:val="0"/>
          <w:numId w:val="2"/>
        </w:numPr>
        <w:spacing w:before="40" w:after="40"/>
      </w:pPr>
      <w:r>
        <w:rPr>
          <w:rFonts w:ascii="Arial" w:cs="Arial" w:eastAsia="Arial" w:hAnsi="Arial"/>
          <w:sz w:val="22"/>
          <w:szCs w:val="22"/>
        </w:rPr>
        <w:t xml:space="preserve">Set target migration milestones aligned with NIST PQC implementation guidance and ASD/ACSC recommendations</w:t>
      </w:r>
    </w:p>
    <w:p>
      <w:pPr>
        <w:pStyle w:val="ListParagraph"/>
        <w:numPr>
          <w:ilvl w:val="0"/>
          <w:numId w:val="2"/>
        </w:numPr>
        <w:spacing w:before="40" w:after="40"/>
      </w:pPr>
      <w:r>
        <w:rPr>
          <w:rFonts w:ascii="Arial" w:cs="Arial" w:eastAsia="Arial" w:hAnsi="Arial"/>
          <w:sz w:val="22"/>
          <w:szCs w:val="22"/>
        </w:rPr>
        <w:t xml:space="preserve">Address vendor and third-party dependencies where the organisation cannot unilaterally migrate</w:t>
      </w:r>
    </w:p>
    <w:p>
      <w:pPr>
        <w:pStyle w:val="ListParagraph"/>
        <w:numPr>
          <w:ilvl w:val="0"/>
          <w:numId w:val="2"/>
        </w:numPr>
        <w:spacing w:before="40" w:after="40"/>
      </w:pPr>
      <w:r>
        <w:rPr>
          <w:rFonts w:ascii="Arial" w:cs="Arial" w:eastAsia="Arial" w:hAnsi="Arial"/>
          <w:sz w:val="22"/>
          <w:szCs w:val="22"/>
        </w:rPr>
        <w:t xml:space="preserve">Include testing and validation requirements before production deployment of PQC algorithms</w:t>
      </w:r>
    </w:p>
    <w:p>
      <w:pPr>
        <w:pStyle w:val="ListParagraph"/>
        <w:numPr>
          <w:ilvl w:val="0"/>
          <w:numId w:val="2"/>
        </w:numPr>
        <w:spacing w:before="40" w:after="40"/>
      </w:pPr>
      <w:r>
        <w:rPr>
          <w:rFonts w:ascii="Arial" w:cs="Arial" w:eastAsia="Arial" w:hAnsi="Arial"/>
          <w:sz w:val="22"/>
          <w:szCs w:val="22"/>
        </w:rPr>
        <w:t xml:space="preserve">Account for certificate renewal cycles and PKI infrastructure changes</w:t>
      </w:r>
    </w:p>
    <w:p>
      <w:pPr>
        <w:spacing w:before="80" w:after="80"/>
      </w:pPr>
      <w:r>
        <w:rPr>
          <w:rFonts w:ascii="Arial" w:cs="Arial" w:eastAsia="Arial" w:hAnsi="Arial"/>
          <w:sz w:val="22"/>
          <w:szCs w:val="22"/>
        </w:rPr>
        <w:t xml:space="preserve">The Quantum Cryptographic Migration Plan must be reviewed at least annually and updated to reflect material changes in the threat landscape, available tooling, and regulatory guidance.</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5.8.6  Ongoing Monitoring and Review</w:t>
      </w:r>
    </w:p>
    <w:p>
      <w:pPr>
        <w:spacing w:before="80" w:after="80"/>
      </w:pPr>
      <w:r>
        <w:rPr>
          <w:rFonts w:ascii="Arial" w:cs="Arial" w:eastAsia="Arial" w:hAnsi="Arial"/>
          <w:sz w:val="22"/>
          <w:szCs w:val="22"/>
        </w:rPr>
        <w:t xml:space="preserve">The organisation must remain current with post-quantum cryptography developments through the following activities:</w:t>
      </w:r>
    </w:p>
    <w:p>
      <w:pPr>
        <w:pStyle w:val="ListParagraph"/>
        <w:numPr>
          <w:ilvl w:val="0"/>
          <w:numId w:val="2"/>
        </w:numPr>
        <w:spacing w:before="40" w:after="40"/>
      </w:pPr>
      <w:r>
        <w:rPr>
          <w:rFonts w:ascii="Arial" w:cs="Arial" w:eastAsia="Arial" w:hAnsi="Arial"/>
          <w:sz w:val="22"/>
          <w:szCs w:val="22"/>
        </w:rPr>
        <w:t xml:space="preserve">Monitor publications and advisories from NIST, ASD, ACSC, and NCSC (UK) regarding PQC standards, algorithm deprecation, and implementation guidance</w:t>
      </w:r>
    </w:p>
    <w:p>
      <w:pPr>
        <w:pStyle w:val="ListParagraph"/>
        <w:numPr>
          <w:ilvl w:val="0"/>
          <w:numId w:val="2"/>
        </w:numPr>
        <w:spacing w:before="40" w:after="40"/>
      </w:pPr>
      <w:r>
        <w:rPr>
          <w:rFonts w:ascii="Arial" w:cs="Arial" w:eastAsia="Arial" w:hAnsi="Arial"/>
          <w:sz w:val="22"/>
          <w:szCs w:val="22"/>
        </w:rPr>
        <w:t xml:space="preserve">Track vendor roadmaps for PQC support in critical infrastructure components including VPN, PKI, TLS libraries, and cloud services</w:t>
      </w:r>
    </w:p>
    <w:p>
      <w:pPr>
        <w:pStyle w:val="ListParagraph"/>
        <w:numPr>
          <w:ilvl w:val="0"/>
          <w:numId w:val="2"/>
        </w:numPr>
        <w:spacing w:before="40" w:after="40"/>
      </w:pPr>
      <w:r>
        <w:rPr>
          <w:rFonts w:ascii="Arial" w:cs="Arial" w:eastAsia="Arial" w:hAnsi="Arial"/>
          <w:sz w:val="22"/>
          <w:szCs w:val="22"/>
        </w:rPr>
        <w:t xml:space="preserve">Incorporate quantum risk as a standing agenda item in the organisation's information security risk review</w:t>
      </w:r>
    </w:p>
    <w:p>
      <w:pPr>
        <w:pStyle w:val="ListParagraph"/>
        <w:numPr>
          <w:ilvl w:val="0"/>
          <w:numId w:val="2"/>
        </w:numPr>
        <w:spacing w:before="40" w:after="40"/>
      </w:pPr>
      <w:r>
        <w:rPr>
          <w:rFonts w:ascii="Arial" w:cs="Arial" w:eastAsia="Arial" w:hAnsi="Arial"/>
          <w:sz w:val="22"/>
          <w:szCs w:val="22"/>
        </w:rPr>
        <w:t xml:space="preserve">Report on migration progress to executive management at least annually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Roles and Responsibilities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58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Policy owner; Key Manager; responsible for cryptographic inventory, migration planning, and quantum risk monitoring.</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IT / Infrastructure Team</w:t>
            </w:r>
          </w:p>
        </w:tc>
        <w:tc>
          <w:tcPr>
            <w:tcW w:type="dxa" w:w="5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Implements and maintains approved cryptographic controls, encryption configurations, and endpoint disk encryption.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Developers</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Follow approved cryptographic standards in all code and infrastructure, report any deprecated algorithm usage.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All Personnel</w:t>
            </w:r>
          </w:p>
        </w:tc>
        <w:tc>
          <w:tcPr>
            <w:tcW w:type="dxa" w:w="58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Comply with policy requirements; must not store keys in unauthorised locations or use unapproved encryption tools.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Network Security Policy (POL-SEC-002)</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Secure Infrastructure as Code Policy (POL-SEC-004)</w:t>
      </w:r>
    </w:p>
    <w:p>
      <w:pPr>
        <w:pStyle w:val="ListParagraph"/>
        <w:numPr>
          <w:ilvl w:val="0"/>
          <w:numId w:val="2"/>
        </w:numPr>
        <w:spacing w:before="40" w:after="40"/>
      </w:pPr>
      <w:r>
        <w:rPr>
          <w:rFonts w:ascii="Arial" w:cs="Arial" w:eastAsia="Arial" w:hAnsi="Arial"/>
          <w:sz w:val="22"/>
          <w:szCs w:val="22"/>
        </w:rPr>
        <w:t xml:space="preserve">Credential Management Policy (POL-SEC-005)</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ISO/IEC 27001:2022 — Annex A, Control A.8.24</w:t>
      </w:r>
    </w:p>
    <w:p>
      <w:pPr>
        <w:pStyle w:val="ListParagraph"/>
        <w:numPr>
          <w:ilvl w:val="0"/>
          <w:numId w:val="2"/>
        </w:numPr>
        <w:spacing w:before="40" w:after="40"/>
      </w:pPr>
      <w:r>
        <w:rPr>
          <w:rFonts w:ascii="Arial" w:cs="Arial" w:eastAsia="Arial" w:hAnsi="Arial"/>
          <w:sz w:val="22"/>
          <w:szCs w:val="22"/>
        </w:rPr>
        <w:t xml:space="preserve">NIST FIPS 203, 204, 205 — Post-Quantum Cryptographic Standards</w:t>
      </w:r>
    </w:p>
    <w:p>
      <w:pPr>
        <w:pStyle w:val="ListParagraph"/>
        <w:numPr>
          <w:ilvl w:val="0"/>
          <w:numId w:val="2"/>
        </w:numPr>
        <w:spacing w:before="40" w:after="40"/>
      </w:pPr>
      <w:r>
        <w:rPr>
          <w:rFonts w:ascii="Arial" w:cs="Arial" w:eastAsia="Arial" w:hAnsi="Arial"/>
          <w:sz w:val="22"/>
          <w:szCs w:val="22"/>
        </w:rPr>
        <w:t xml:space="preserve">ASD/ACSC Cryptography Guidance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2026-03-30T13:53:30.742Z</dcterms:created>
  <dcterms:modified xsi:type="dcterms:W3CDTF">2026-03-30T13:53:30.743Z</dcterms:modified>
</cp:coreProperties>
</file>

<file path=docProps/custom.xml><?xml version="1.0" encoding="utf-8"?>
<Properties xmlns="http://schemas.openxmlformats.org/officeDocument/2006/custom-properties" xmlns:vt="http://schemas.openxmlformats.org/officeDocument/2006/docPropsVTypes"/>
</file>