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ind w:left="220" w:right="220"/>
      </w:pPr>
      <w:r>
        <w:rPr>
          <w:rFonts w:ascii="Arial" w:cs="Arial" w:eastAsia="Arial" w:hAnsi="Arial"/>
          <w:b/>
          <w:bCs/>
          <w:color w:val="FFFFFF"/>
          <w:sz w:val="48"/>
          <w:szCs w:val="48"/>
        </w:rPr>
        <w:t xml:space="preserve">SECURITY TRAINING AND AWARENESS POLICY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Title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Security Training and Awareness Policy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ID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POL-SEC-006</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Version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Classification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Internal</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Owner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[Information Security Officer]</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Approved By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[CEO / Executive Management]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Effective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Review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Status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Active</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3864"/>
                <w:sz w:val="22"/>
                <w:szCs w:val="22"/>
              </w:rPr>
              <w:t xml:space="preserve">ISO/IEC 27001:2022 — Annex A Controls Referenced</w:t>
            </w:r>
          </w:p>
          <w:p>
            <w:r>
              <w:rPr>
                <w:rFonts w:ascii="Arial" w:cs="Arial" w:eastAsia="Arial" w:hAnsi="Arial"/>
                <w:sz w:val="22"/>
                <w:szCs w:val="22"/>
              </w:rPr>
              <w:t xml:space="preserve">A.6.3 — Information security awareness, education and training</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  Overview</w:t>
      </w:r>
    </w:p>
    <w:p>
      <w:pPr>
        <w:spacing w:before="80" w:after="80"/>
      </w:pPr>
      <w:r>
        <w:rPr>
          <w:rFonts w:ascii="Arial" w:cs="Arial" w:eastAsia="Arial" w:hAnsi="Arial"/>
          <w:sz w:val="22"/>
          <w:szCs w:val="22"/>
        </w:rPr>
        <w:t xml:space="preserve">People are both the first line of defence and the most frequent vector for security incidents. An informed, security-aware workforce is essential to the effectiveness of the organisation's technical and procedural controls. This policy establishes the security training and awareness requirements for all personnel.</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2.  Purpose</w:t>
      </w:r>
    </w:p>
    <w:p>
      <w:pPr>
        <w:spacing w:before="80" w:after="80"/>
      </w:pPr>
      <w:r>
        <w:rPr>
          <w:rFonts w:ascii="Arial" w:cs="Arial" w:eastAsia="Arial" w:hAnsi="Arial"/>
          <w:sz w:val="22"/>
          <w:szCs w:val="22"/>
        </w:rPr>
        <w:t xml:space="preserve">This policy defines the mandatory security training and awareness requirements for the organisation, ensuring all personnel maintain the knowledge and skills required to fulfil their security responsibilities and comply with applicable policies.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3.  Scope</w:t>
      </w:r>
    </w:p>
    <w:p>
      <w:pPr>
        <w:spacing w:before="80" w:after="80"/>
      </w:pPr>
      <w:r>
        <w:rPr>
          <w:rFonts w:ascii="Arial" w:cs="Arial" w:eastAsia="Arial" w:hAnsi="Arial"/>
          <w:sz w:val="22"/>
          <w:szCs w:val="22"/>
        </w:rPr>
        <w:t xml:space="preserve">This policy applies to all employees, contractors, and other personnel who access the organisation's systems or data.</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4.  Terms and Definitions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Term</w:t>
            </w:r>
          </w:p>
        </w:tc>
        <w:tc>
          <w:tcPr>
            <w:tcW w:type="dxa" w:w="62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Security Awareness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The general knowledge of information security risks, responsibilities, and expected behaviours.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Security Training</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Structured instruction designed to develop specific security knowledge or skills.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Role-Specific Training</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Security training tailored to the particular risks and responsibilities associated with a specific job function.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Phishing Simulation</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 controlled test in which simulated phishing emails are sent to employees to assess and improve phishing awareness.</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5.  Policy</w:t>
      </w:r>
    </w:p>
    <w:p>
      <w:pPr>
        <w:pStyle w:val="Heading2"/>
        <w:spacing w:before="180" w:after="80"/>
      </w:pPr>
      <w:r>
        <w:rPr>
          <w:rFonts w:ascii="Arial" w:cs="Arial" w:eastAsia="Arial" w:hAnsi="Arial"/>
          <w:b/>
          <w:bCs/>
          <w:color w:val="2E5496"/>
          <w:sz w:val="26"/>
          <w:szCs w:val="26"/>
        </w:rPr>
        <w:t xml:space="preserve">5.1  Mandatory Security Awareness Training</w:t>
      </w:r>
    </w:p>
    <w:p>
      <w:pPr>
        <w:spacing w:before="80" w:after="80"/>
      </w:pPr>
      <w:r>
        <w:rPr>
          <w:rFonts w:ascii="Arial" w:cs="Arial" w:eastAsia="Arial" w:hAnsi="Arial"/>
          <w:sz w:val="22"/>
          <w:szCs w:val="22"/>
        </w:rPr>
        <w:t xml:space="preserve">All employees must complete the following mandatory training:</w:t>
      </w:r>
    </w:p>
    <w:p>
      <w:pPr>
        <w:pStyle w:val="ListParagraph"/>
        <w:numPr>
          <w:ilvl w:val="0"/>
          <w:numId w:val="2"/>
        </w:numPr>
        <w:spacing w:before="40" w:after="40"/>
      </w:pPr>
      <w:r>
        <w:rPr>
          <w:rFonts w:ascii="Arial" w:cs="Arial" w:eastAsia="Arial" w:hAnsi="Arial"/>
          <w:sz w:val="22"/>
          <w:szCs w:val="22"/>
        </w:rPr>
        <w:t xml:space="preserve">Onboarding security induction — within the first week of employment, covering organisational security policies, acceptable use, credential requirements, and incident reporting.</w:t>
      </w:r>
    </w:p>
    <w:p>
      <w:pPr>
        <w:pStyle w:val="ListParagraph"/>
        <w:numPr>
          <w:ilvl w:val="0"/>
          <w:numId w:val="2"/>
        </w:numPr>
        <w:spacing w:before="40" w:after="40"/>
      </w:pPr>
      <w:r>
        <w:rPr>
          <w:rFonts w:ascii="Arial" w:cs="Arial" w:eastAsia="Arial" w:hAnsi="Arial"/>
          <w:sz w:val="22"/>
          <w:szCs w:val="22"/>
        </w:rPr>
        <w:t xml:space="preserve">Annual security awareness refresher — completed within the first quarter of each calendar year, covering updated threats, policy changes, and reinforcement of key security behaviours.</w:t>
      </w:r>
    </w:p>
    <w:p>
      <w:pPr>
        <w:pStyle w:val="ListParagraph"/>
        <w:numPr>
          <w:ilvl w:val="0"/>
          <w:numId w:val="2"/>
        </w:numPr>
        <w:spacing w:before="40" w:after="40"/>
      </w:pPr>
      <w:r>
        <w:rPr>
          <w:rFonts w:ascii="Arial" w:cs="Arial" w:eastAsia="Arial" w:hAnsi="Arial"/>
          <w:sz w:val="22"/>
          <w:szCs w:val="22"/>
        </w:rPr>
        <w:t xml:space="preserve">Phishing awareness training — completed annually, including at least one phishing simulation exercise per year.</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5.2  Role-Specific Security Training</w:t>
      </w:r>
    </w:p>
    <w:p>
      <w:pPr>
        <w:spacing w:before="80" w:after="80"/>
      </w:pPr>
      <w:r>
        <w:rPr>
          <w:rFonts w:ascii="Arial" w:cs="Arial" w:eastAsia="Arial" w:hAnsi="Arial"/>
          <w:sz w:val="22"/>
          <w:szCs w:val="22"/>
        </w:rPr>
        <w:t xml:space="preserve">The following roles require additional security training beyond the baseline:</w:t>
      </w:r>
    </w:p>
    <w:p>
      <w:pPr>
        <w:pStyle w:val="ListParagraph"/>
        <w:numPr>
          <w:ilvl w:val="0"/>
          <w:numId w:val="2"/>
        </w:numPr>
        <w:spacing w:before="40" w:after="40"/>
      </w:pPr>
      <w:r>
        <w:rPr>
          <w:rFonts w:ascii="Arial" w:cs="Arial" w:eastAsia="Arial" w:hAnsi="Arial"/>
          <w:sz w:val="22"/>
          <w:szCs w:val="22"/>
        </w:rPr>
        <w:t xml:space="preserve">IT and infrastructure staff: network security, access management, incident response, and patch management.</w:t>
      </w:r>
    </w:p>
    <w:p>
      <w:pPr>
        <w:pStyle w:val="ListParagraph"/>
        <w:numPr>
          <w:ilvl w:val="0"/>
          <w:numId w:val="2"/>
        </w:numPr>
        <w:spacing w:before="40" w:after="40"/>
      </w:pPr>
      <w:r>
        <w:rPr>
          <w:rFonts w:ascii="Arial" w:cs="Arial" w:eastAsia="Arial" w:hAnsi="Arial"/>
          <w:sz w:val="22"/>
          <w:szCs w:val="22"/>
        </w:rPr>
        <w:t xml:space="preserve">Developers: secure coding, OWASP principles, vulnerability management, and secure infrastructure as code.</w:t>
      </w:r>
    </w:p>
    <w:p>
      <w:pPr>
        <w:pStyle w:val="ListParagraph"/>
        <w:numPr>
          <w:ilvl w:val="0"/>
          <w:numId w:val="2"/>
        </w:numPr>
        <w:spacing w:before="40" w:after="40"/>
      </w:pPr>
      <w:r>
        <w:rPr>
          <w:rFonts w:ascii="Arial" w:cs="Arial" w:eastAsia="Arial" w:hAnsi="Arial"/>
          <w:sz w:val="22"/>
          <w:szCs w:val="22"/>
        </w:rPr>
        <w:t xml:space="preserve">Security team: advanced threat detection, incident response, forensics, and security tooling.</w:t>
      </w:r>
    </w:p>
    <w:p>
      <w:pPr>
        <w:pStyle w:val="ListParagraph"/>
        <w:numPr>
          <w:ilvl w:val="0"/>
          <w:numId w:val="2"/>
        </w:numPr>
        <w:spacing w:before="40" w:after="40"/>
      </w:pPr>
      <w:r>
        <w:rPr>
          <w:rFonts w:ascii="Arial" w:cs="Arial" w:eastAsia="Arial" w:hAnsi="Arial"/>
          <w:sz w:val="22"/>
          <w:szCs w:val="22"/>
        </w:rPr>
        <w:t xml:space="preserve">AI System Owners and AI users: AI governance, responsible AI use, bias and hallucination risks, AI-specific security threats, and reporting obligations.</w:t>
      </w:r>
    </w:p>
    <w:p>
      <w:pPr>
        <w:pStyle w:val="ListParagraph"/>
        <w:numPr>
          <w:ilvl w:val="0"/>
          <w:numId w:val="2"/>
        </w:numPr>
        <w:spacing w:before="40" w:after="40"/>
      </w:pPr>
      <w:r>
        <w:rPr>
          <w:rFonts w:ascii="Arial" w:cs="Arial" w:eastAsia="Arial" w:hAnsi="Arial"/>
          <w:sz w:val="22"/>
          <w:szCs w:val="22"/>
        </w:rPr>
        <w:t xml:space="preserve">Managers: security risk management, their team's reporting obligations, and handling disciplinary matters involving security breaches.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5.3  AI-Specific Training</w:t>
      </w:r>
    </w:p>
    <w:p>
      <w:pPr>
        <w:spacing w:before="80" w:after="80"/>
      </w:pPr>
      <w:r>
        <w:rPr>
          <w:rFonts w:ascii="Arial" w:cs="Arial" w:eastAsia="Arial" w:hAnsi="Arial"/>
          <w:sz w:val="22"/>
          <w:szCs w:val="22"/>
        </w:rPr>
        <w:t xml:space="preserve">In accordance with the Responsible Use of AI Policy, all employees must complete AI security and responsible use training before using AI systems for business purposes where such training is mandated. This training covers: responsible AI use principles, approved AI systems and the AI System Register, data classification requirements for AI, prohibited uses, human oversight obligations, and how to report AI-related incidents.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5.4  New Technology Training</w:t>
      </w:r>
    </w:p>
    <w:p>
      <w:pPr>
        <w:spacing w:before="80" w:after="80"/>
      </w:pPr>
      <w:r>
        <w:rPr>
          <w:rFonts w:ascii="Arial" w:cs="Arial" w:eastAsia="Arial" w:hAnsi="Arial"/>
          <w:sz w:val="22"/>
          <w:szCs w:val="22"/>
        </w:rPr>
        <w:t xml:space="preserve">When the organisation adopts new technologies, platforms, or tools that introduce significant security considerations, targeted training must be provided to affected personnel before deployment or within a reasonable period following introduction.</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5.5  Training Delivery and Records</w:t>
      </w:r>
    </w:p>
    <w:p>
      <w:pPr>
        <w:spacing w:before="80" w:after="80"/>
      </w:pPr>
      <w:r>
        <w:rPr>
          <w:rFonts w:ascii="Arial" w:cs="Arial" w:eastAsia="Arial" w:hAnsi="Arial"/>
          <w:sz w:val="22"/>
          <w:szCs w:val="22"/>
        </w:rPr>
        <w:t xml:space="preserve">Security training may be delivered through online modules, in-person sessions, workshops, or simulations. The organisation must maintain training completion records for all mandatory training. Records must be available for audit and must be retained for a minimum of three years.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5.6  Training Compliance Monitoring</w:t>
      </w:r>
    </w:p>
    <w:p>
      <w:pPr>
        <w:spacing w:before="80" w:after="80"/>
      </w:pPr>
      <w:r>
        <w:rPr>
          <w:rFonts w:ascii="Arial" w:cs="Arial" w:eastAsia="Arial" w:hAnsi="Arial"/>
          <w:sz w:val="22"/>
          <w:szCs w:val="22"/>
        </w:rPr>
        <w:t xml:space="preserve">The Information Security Officer is responsible for monitoring training completion rates and reporting to management quarterly. Non-completion of mandatory training without an approved exemption must be escalated to the relevant manager. Persistent non-compliance may result in access restrictions or disciplinary action in accordance with the Disciplinary Procedure.</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5.7  Security Awareness Communications</w:t>
      </w:r>
    </w:p>
    <w:p>
      <w:pPr>
        <w:spacing w:before="80" w:after="80"/>
      </w:pPr>
      <w:r>
        <w:rPr>
          <w:rFonts w:ascii="Arial" w:cs="Arial" w:eastAsia="Arial" w:hAnsi="Arial"/>
          <w:sz w:val="22"/>
          <w:szCs w:val="22"/>
        </w:rPr>
        <w:t xml:space="preserve">In addition to structured training, the organisation will maintain an ongoing security awareness program including regular security bulletins, notifications of emerging threats, and communications regarding policy updates. Personnel are expected to read and act on security awareness communications relevant to their role.</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7.  Compliance and Enforcement</w:t>
      </w:r>
    </w:p>
    <w:p>
      <w:pPr>
        <w:spacing w:before="80" w:after="80"/>
      </w:pPr>
      <w:r>
        <w:rPr>
          <w:rFonts w:ascii="Arial" w:cs="Arial" w:eastAsia="Arial" w:hAnsi="Arial"/>
          <w:sz w:val="22"/>
          <w:szCs w:val="22"/>
        </w:rPr>
        <w:t xml:space="preserve">Compliance with this policy is mandatory for all personnel within its scope. The organisation will conduct periodic reviews and audits to assess adherence.</w:t>
      </w:r>
    </w:p>
    <w:p>
      <w:pPr>
        <w:spacing w:before="80" w:after="80"/>
      </w:pPr>
      <w:r>
        <w:rPr>
          <w:rFonts w:ascii="Arial" w:cs="Arial" w:eastAsia="Arial" w:hAnsi="Arial"/>
          <w:sz w:val="22"/>
          <w:szCs w:val="22"/>
        </w:rPr>
        <w:t xml:space="preserve">Where an individual fails to comply with, or deliberately circumvents, the requirements of this policy, disciplinary action will be initiated in accordance with the organisation's Disciplinary Procedure. Depending on the severity of the breach, this may also result in referral to relevant law enforcement bodies.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8.  Related Documents</w:t>
      </w:r>
    </w:p>
    <w:p>
      <w:pPr>
        <w:pStyle w:val="ListParagraph"/>
        <w:numPr>
          <w:ilvl w:val="0"/>
          <w:numId w:val="2"/>
        </w:numPr>
        <w:spacing w:before="40" w:after="40"/>
      </w:pPr>
      <w:r>
        <w:rPr>
          <w:rFonts w:ascii="Arial" w:cs="Arial" w:eastAsia="Arial" w:hAnsi="Arial"/>
          <w:sz w:val="22"/>
          <w:szCs w:val="22"/>
        </w:rPr>
        <w:t xml:space="preserve">Responsible Use of AI Policy (POL-AI-001)</w:t>
      </w:r>
    </w:p>
    <w:p>
      <w:pPr>
        <w:pStyle w:val="ListParagraph"/>
        <w:numPr>
          <w:ilvl w:val="0"/>
          <w:numId w:val="2"/>
        </w:numPr>
        <w:spacing w:before="40" w:after="40"/>
      </w:pPr>
      <w:r>
        <w:rPr>
          <w:rFonts w:ascii="Arial" w:cs="Arial" w:eastAsia="Arial" w:hAnsi="Arial"/>
          <w:sz w:val="22"/>
          <w:szCs w:val="22"/>
        </w:rPr>
        <w:t xml:space="preserve">Acceptable Use Policy (POL-GEN-001)</w:t>
      </w:r>
    </w:p>
    <w:p>
      <w:pPr>
        <w:pStyle w:val="ListParagraph"/>
        <w:numPr>
          <w:ilvl w:val="0"/>
          <w:numId w:val="2"/>
        </w:numPr>
        <w:spacing w:before="40" w:after="40"/>
      </w:pPr>
      <w:r>
        <w:rPr>
          <w:rFonts w:ascii="Arial" w:cs="Arial" w:eastAsia="Arial" w:hAnsi="Arial"/>
          <w:sz w:val="22"/>
          <w:szCs w:val="22"/>
        </w:rPr>
        <w:t xml:space="preserve">Information Security Policy (POL-SEC-007)</w:t>
      </w:r>
    </w:p>
    <w:p>
      <w:pPr>
        <w:pStyle w:val="ListParagraph"/>
        <w:numPr>
          <w:ilvl w:val="0"/>
          <w:numId w:val="2"/>
        </w:numPr>
        <w:spacing w:before="40" w:after="40"/>
      </w:pPr>
      <w:r>
        <w:rPr>
          <w:rFonts w:ascii="Arial" w:cs="Arial" w:eastAsia="Arial" w:hAnsi="Arial"/>
          <w:sz w:val="22"/>
          <w:szCs w:val="22"/>
        </w:rPr>
        <w:t xml:space="preserve">Disciplinary Procedure (POL-HR-001)</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9.  Policy Review</w:t>
      </w:r>
    </w:p>
    <w:p>
      <w:pPr>
        <w:spacing w:before="80" w:after="80"/>
      </w:pPr>
      <w:r>
        <w:rPr>
          <w:rFonts w:ascii="Arial" w:cs="Arial" w:eastAsia="Arial" w:hAnsi="Arial"/>
          <w:sz w:val="22"/>
          <w:szCs w:val="22"/>
        </w:rPr>
        <w:t xml:space="preserve">This policy shall be reviewed at least annually or following any significant change to the organisation's environment, a security incident, or updates to applicable standards and regulatory requirements. The policy owner is responsible for initiating and managing the review process.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10.  Document Revision History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626"/>
        <w:gridCol w:w="1700"/>
      </w:tblGrid>
      <w:tr>
        <w:tc>
          <w:tcPr>
            <w:tcW w:type="dxa" w:w="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46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Author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Initial release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[Author Name]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180" w:after="80"/>
      <w:outlineLvl w:val="1"/>
    </w:pPr>
    <w:rPr>
      <w:rFonts w:ascii="Arial" w:cs="Arial" w:eastAsia="Arial" w:hAnsi="Arial"/>
      <w:b/>
      <w:bCs/>
      <w:color w:val="2E5496"/>
      <w:sz w:val="26"/>
      <w:szCs w:val="26"/>
    </w:rPr>
  </w:style>
  <w:style w:type="paragraph" w:styleId="Heading3">
    <w:name w:val="Heading 3"/>
    <w:basedOn w:val="Normal"/>
    <w:next w:val="Normal"/>
    <w:qFormat/>
    <w:pPr>
      <w:spacing w:before="14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2026-03-30T13:53:31.334Z</dcterms:created>
  <dcterms:modified xsi:type="dcterms:W3CDTF">2026-03-30T13:53:31.334Z</dcterms:modified>
</cp:coreProperties>
</file>

<file path=docProps/custom.xml><?xml version="1.0" encoding="utf-8"?>
<Properties xmlns="http://schemas.openxmlformats.org/officeDocument/2006/custom-properties" xmlns:vt="http://schemas.openxmlformats.org/officeDocument/2006/docPropsVTypes"/>
</file>