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INFORMATION SECURITY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POL-SEC-007</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A.5.1 — Policies for information security</w:t>
            </w:r>
          </w:p>
          <w:p>
            <w:r>
              <w:rPr>
                <w:rFonts w:ascii="Arial" w:cs="Arial" w:eastAsia="Arial" w:hAnsi="Arial"/>
                <w:sz w:val="22"/>
                <w:szCs w:val="22"/>
              </w:rPr>
              <w:t xml:space="preserve">A.5.2 — Information security roles and responsibilities</w:t>
            </w:r>
          </w:p>
          <w:p>
            <w:r>
              <w:rPr>
                <w:rFonts w:ascii="Arial" w:cs="Arial" w:eastAsia="Arial" w:hAnsi="Arial"/>
                <w:sz w:val="22"/>
                <w:szCs w:val="22"/>
              </w:rPr>
              <w:t xml:space="preserve">A.5.4 — Management responsibilities</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Information is one of the organisation's most valuable assets. Protecting the confidentiality, integrity, and availability of that information is essential to maintaining client trust, meeting legal and regulatory obligations, and sustaining business operations. This policy establishes the overarching framework for information security governance within the organisation.</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establishes the organisation's commitment to information security, defines the overarching principles and governance structure, and sets the mandate for all supporting information security policies and controls. It is aligned with the requirements of ISO/IEC 27001:2022.</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information assets, systems, services, personnel, and third parties that access, process, or manage information on behalf of the organisation.</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protection of information and information systems from unauthorised access, use, disclosure, disruption, modification, or destruction.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Confidentiality</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property that information is not made available or disclosed to unauthorised individuals, entities, or processes.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Integrity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property of accuracy and completeness of information and processing methods.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Availability</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property of being accessible and usable on demand by authorised entities.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Asset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Any information or information system of value to the organisation.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Risk</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effect of uncertainty on information security objectives, combining the likelihood and potential impact of a security event.</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Information Security Principles</w:t>
      </w:r>
    </w:p>
    <w:p>
      <w:pPr>
        <w:spacing w:before="80" w:after="80"/>
      </w:pPr>
      <w:r>
        <w:rPr>
          <w:rFonts w:ascii="Arial" w:cs="Arial" w:eastAsia="Arial" w:hAnsi="Arial"/>
          <w:sz w:val="22"/>
          <w:szCs w:val="22"/>
        </w:rPr>
        <w:t xml:space="preserve">The organisation is committed to protecting information through the following principles:</w:t>
      </w:r>
    </w:p>
    <w:p>
      <w:pPr>
        <w:pStyle w:val="ListParagraph"/>
        <w:numPr>
          <w:ilvl w:val="0"/>
          <w:numId w:val="2"/>
        </w:numPr>
        <w:spacing w:before="40" w:after="40"/>
      </w:pPr>
      <w:r>
        <w:rPr>
          <w:rFonts w:ascii="Arial" w:cs="Arial" w:eastAsia="Arial" w:hAnsi="Arial"/>
          <w:sz w:val="22"/>
          <w:szCs w:val="22"/>
        </w:rPr>
        <w:t xml:space="preserve">Confidentiality: information is protected from unauthorised access and disclosure.</w:t>
      </w:r>
    </w:p>
    <w:p>
      <w:pPr>
        <w:pStyle w:val="ListParagraph"/>
        <w:numPr>
          <w:ilvl w:val="0"/>
          <w:numId w:val="2"/>
        </w:numPr>
        <w:spacing w:before="40" w:after="40"/>
      </w:pPr>
      <w:r>
        <w:rPr>
          <w:rFonts w:ascii="Arial" w:cs="Arial" w:eastAsia="Arial" w:hAnsi="Arial"/>
          <w:sz w:val="22"/>
          <w:szCs w:val="22"/>
        </w:rPr>
        <w:t xml:space="preserve">Integrity: information is accurate, complete, and protected from unauthorised modification.</w:t>
      </w:r>
    </w:p>
    <w:p>
      <w:pPr>
        <w:pStyle w:val="ListParagraph"/>
        <w:numPr>
          <w:ilvl w:val="0"/>
          <w:numId w:val="2"/>
        </w:numPr>
        <w:spacing w:before="40" w:after="40"/>
      </w:pPr>
      <w:r>
        <w:rPr>
          <w:rFonts w:ascii="Arial" w:cs="Arial" w:eastAsia="Arial" w:hAnsi="Arial"/>
          <w:sz w:val="22"/>
          <w:szCs w:val="22"/>
        </w:rPr>
        <w:t xml:space="preserve">Availability: information and systems are accessible to authorised users when needed.</w:t>
      </w:r>
    </w:p>
    <w:p>
      <w:pPr>
        <w:pStyle w:val="ListParagraph"/>
        <w:numPr>
          <w:ilvl w:val="0"/>
          <w:numId w:val="2"/>
        </w:numPr>
        <w:spacing w:before="40" w:after="40"/>
      </w:pPr>
      <w:r>
        <w:rPr>
          <w:rFonts w:ascii="Arial" w:cs="Arial" w:eastAsia="Arial" w:hAnsi="Arial"/>
          <w:sz w:val="22"/>
          <w:szCs w:val="22"/>
        </w:rPr>
        <w:t xml:space="preserve">Accountability: all access to and use of information assets is attributable to identifiable individuals.</w:t>
      </w:r>
    </w:p>
    <w:p>
      <w:pPr>
        <w:pStyle w:val="ListParagraph"/>
        <w:numPr>
          <w:ilvl w:val="0"/>
          <w:numId w:val="2"/>
        </w:numPr>
        <w:spacing w:before="40" w:after="40"/>
      </w:pPr>
      <w:r>
        <w:rPr>
          <w:rFonts w:ascii="Arial" w:cs="Arial" w:eastAsia="Arial" w:hAnsi="Arial"/>
          <w:sz w:val="22"/>
          <w:szCs w:val="22"/>
        </w:rPr>
        <w:t xml:space="preserve">Compliance: the organisation meets all applicable legal, regulatory, and contractual security obligations.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Information Security Governance</w:t>
      </w:r>
    </w:p>
    <w:p>
      <w:pPr>
        <w:spacing w:before="80" w:after="80"/>
      </w:pPr>
      <w:r>
        <w:rPr>
          <w:rFonts w:ascii="Arial" w:cs="Arial" w:eastAsia="Arial" w:hAnsi="Arial"/>
          <w:sz w:val="22"/>
          <w:szCs w:val="22"/>
        </w:rPr>
        <w:t xml:space="preserve">The organisation maintains an Information Security Management System (ISMS) aligned with ISO/IEC 27001:2022. The CEO holds ultimate accountability for information security. The Information Security Officer (ISO) is responsible for the day-to-day management of the ISMS, including policy development, risk management, incident oversight, compliance monitoring, and security training.</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Risk Management</w:t>
      </w:r>
    </w:p>
    <w:p>
      <w:pPr>
        <w:spacing w:before="80" w:after="80"/>
      </w:pPr>
      <w:r>
        <w:rPr>
          <w:rFonts w:ascii="Arial" w:cs="Arial" w:eastAsia="Arial" w:hAnsi="Arial"/>
          <w:sz w:val="22"/>
          <w:szCs w:val="22"/>
        </w:rPr>
        <w:t xml:space="preserve">The organisation conducts regular information security risk assessments to identify, evaluate, and treat risks to its information assets. Risk treatment decisions must be documented and approved by the Information Security Officer. Residual risks must be accepted by appropriate management authority. Risk assessments must be reviewed at least annually and following significant changes to the environment.</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Policy Framework</w:t>
      </w:r>
    </w:p>
    <w:p>
      <w:pPr>
        <w:spacing w:before="80" w:after="80"/>
      </w:pPr>
      <w:r>
        <w:rPr>
          <w:rFonts w:ascii="Arial" w:cs="Arial" w:eastAsia="Arial" w:hAnsi="Arial"/>
          <w:sz w:val="22"/>
          <w:szCs w:val="22"/>
        </w:rPr>
        <w:t xml:space="preserve">This Information Security Policy is supported by a suite of specific policies, standards, and procedures that address particular aspects of information security. All employees and relevant third parties must comply with applicable policies within this framework. Supporting policies include all documents within the POL-SEC, POL-AI, POL-GEN, and POL-HR series.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Security by Design</w:t>
      </w:r>
    </w:p>
    <w:p>
      <w:pPr>
        <w:spacing w:before="80" w:after="80"/>
      </w:pPr>
      <w:r>
        <w:rPr>
          <w:rFonts w:ascii="Arial" w:cs="Arial" w:eastAsia="Arial" w:hAnsi="Arial"/>
          <w:sz w:val="22"/>
          <w:szCs w:val="22"/>
        </w:rPr>
        <w:t xml:space="preserve">Information security must be considered from the outset of any new project, system development, or significant change — not added retrospectively. The Secure System Design Standard defines the security requirements that must be incorporated into system design and development activities.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Asset Management</w:t>
      </w:r>
    </w:p>
    <w:p>
      <w:pPr>
        <w:spacing w:before="80" w:after="80"/>
      </w:pPr>
      <w:r>
        <w:rPr>
          <w:rFonts w:ascii="Arial" w:cs="Arial" w:eastAsia="Arial" w:hAnsi="Arial"/>
          <w:sz w:val="22"/>
          <w:szCs w:val="22"/>
        </w:rPr>
        <w:t xml:space="preserve">All information assets must be identified, classified, and protected in accordance with their value and sensitivity as defined in the Information Classification Policy. Asset owners are responsible for the appropriate classification and protection of the assets under their stewardship.</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5.7  Third-Party Security</w:t>
      </w:r>
    </w:p>
    <w:p>
      <w:pPr>
        <w:spacing w:before="80" w:after="80"/>
      </w:pPr>
      <w:r>
        <w:rPr>
          <w:rFonts w:ascii="Arial" w:cs="Arial" w:eastAsia="Arial" w:hAnsi="Arial"/>
          <w:sz w:val="22"/>
          <w:szCs w:val="22"/>
        </w:rPr>
        <w:t xml:space="preserve">Third parties with access to the organisation's information or systems must be subject to appropriate security requirements defined in their engagement terms. Third-party security obligations must be reviewed at onboarding and at least annually during the relationship.</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5.8  Incident Management</w:t>
      </w:r>
    </w:p>
    <w:p>
      <w:pPr>
        <w:spacing w:before="80" w:after="80"/>
      </w:pPr>
      <w:r>
        <w:rPr>
          <w:rFonts w:ascii="Arial" w:cs="Arial" w:eastAsia="Arial" w:hAnsi="Arial"/>
          <w:sz w:val="22"/>
          <w:szCs w:val="22"/>
        </w:rPr>
        <w:t xml:space="preserve">All information security events and incidents must be reported and managed in accordance with the Security Event and Incident Response Policy. The organisation maintains the right to investigate suspected security incidents and take appropriate action in response.</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5.9  Business Continuity</w:t>
      </w:r>
    </w:p>
    <w:p>
      <w:pPr>
        <w:spacing w:before="80" w:after="80"/>
      </w:pPr>
      <w:r>
        <w:rPr>
          <w:rFonts w:ascii="Arial" w:cs="Arial" w:eastAsia="Arial" w:hAnsi="Arial"/>
          <w:sz w:val="22"/>
          <w:szCs w:val="22"/>
        </w:rPr>
        <w:t xml:space="preserve">The organisation must maintain continuity plans for critical information systems to ensure availability is maintained or restored in the event of a significant disruption. Business continuity and disaster recovery planning must incorporate information security requirements.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5.10  Compliance and Audit</w:t>
      </w:r>
    </w:p>
    <w:p>
      <w:pPr>
        <w:spacing w:before="80" w:after="80"/>
      </w:pPr>
      <w:r>
        <w:rPr>
          <w:rFonts w:ascii="Arial" w:cs="Arial" w:eastAsia="Arial" w:hAnsi="Arial"/>
          <w:sz w:val="22"/>
          <w:szCs w:val="22"/>
        </w:rPr>
        <w:t xml:space="preserve">Compliance with this policy and the broader ISMS is subject to regular audit. The Information Security Officer must conduct an internal review of ISMS effectiveness at least annually and report findings to executive management. Non-compliance with information security policies must be addressed through the Disciplinary Procedure.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6.  Management Commitment</w:t>
      </w:r>
    </w:p>
    <w:p>
      <w:pPr>
        <w:spacing w:before="80" w:after="80"/>
      </w:pPr>
      <w:r>
        <w:rPr>
          <w:rFonts w:ascii="Arial" w:cs="Arial" w:eastAsia="Arial" w:hAnsi="Arial"/>
          <w:sz w:val="22"/>
          <w:szCs w:val="22"/>
        </w:rPr>
        <w:t xml:space="preserve">Executive management is committed to providing the resources necessary to implement and maintain an effective ISMS, to promoting a culture of information security awareness, and to continuous improvement of information security practices. This commitment is demonstrated through the approval of this policy, the allocation of appropriate resources, and the mandate for all personnel to comply with its requirements.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organisation's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All POL-SEC series policies</w:t>
      </w:r>
    </w:p>
    <w:p>
      <w:pPr>
        <w:pStyle w:val="ListParagraph"/>
        <w:numPr>
          <w:ilvl w:val="0"/>
          <w:numId w:val="2"/>
        </w:numPr>
        <w:spacing w:before="40" w:after="40"/>
      </w:pPr>
      <w:r>
        <w:rPr>
          <w:rFonts w:ascii="Arial" w:cs="Arial" w:eastAsia="Arial" w:hAnsi="Arial"/>
          <w:sz w:val="22"/>
          <w:szCs w:val="22"/>
        </w:rPr>
        <w:t xml:space="preserve">All POL-AI series policies</w:t>
      </w:r>
    </w:p>
    <w:p>
      <w:pPr>
        <w:pStyle w:val="ListParagraph"/>
        <w:numPr>
          <w:ilvl w:val="0"/>
          <w:numId w:val="2"/>
        </w:numPr>
        <w:spacing w:before="40" w:after="40"/>
      </w:pPr>
      <w:r>
        <w:rPr>
          <w:rFonts w:ascii="Arial" w:cs="Arial" w:eastAsia="Arial" w:hAnsi="Arial"/>
          <w:sz w:val="22"/>
          <w:szCs w:val="22"/>
        </w:rPr>
        <w:t xml:space="preserve">Acceptable Use Policy (POL-GEN-001)</w:t>
      </w:r>
    </w:p>
    <w:p>
      <w:pPr>
        <w:pStyle w:val="ListParagraph"/>
        <w:numPr>
          <w:ilvl w:val="0"/>
          <w:numId w:val="2"/>
        </w:numPr>
        <w:spacing w:before="40" w:after="40"/>
      </w:pPr>
      <w:r>
        <w:rPr>
          <w:rFonts w:ascii="Arial" w:cs="Arial" w:eastAsia="Arial" w:hAnsi="Arial"/>
          <w:sz w:val="22"/>
          <w:szCs w:val="22"/>
        </w:rPr>
        <w:t xml:space="preserve">Privacy Policy (POL-GEN-002)</w:t>
      </w:r>
    </w:p>
    <w:p>
      <w:pPr>
        <w:pStyle w:val="ListParagraph"/>
        <w:numPr>
          <w:ilvl w:val="0"/>
          <w:numId w:val="2"/>
        </w:numPr>
        <w:spacing w:before="40" w:after="40"/>
      </w:pPr>
      <w:r>
        <w:rPr>
          <w:rFonts w:ascii="Arial" w:cs="Arial" w:eastAsia="Arial" w:hAnsi="Arial"/>
          <w:sz w:val="22"/>
          <w:szCs w:val="22"/>
        </w:rPr>
        <w:t xml:space="preserve">Disciplinary Procedure (POL-HR-001)</w:t>
      </w:r>
    </w:p>
    <w:p>
      <w:pPr>
        <w:pStyle w:val="ListParagraph"/>
        <w:numPr>
          <w:ilvl w:val="0"/>
          <w:numId w:val="2"/>
        </w:numPr>
        <w:spacing w:before="40" w:after="40"/>
      </w:pPr>
      <w:r>
        <w:rPr>
          <w:rFonts w:ascii="Arial" w:cs="Arial" w:eastAsia="Arial" w:hAnsi="Arial"/>
          <w:sz w:val="22"/>
          <w:szCs w:val="22"/>
        </w:rPr>
        <w:t xml:space="preserve">ISO/IEC 27001:2022</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2026-03-30T13:53:31.352Z</dcterms:created>
  <dcterms:modified xsi:type="dcterms:W3CDTF">2026-03-30T13:53:31.352Z</dcterms:modified>
</cp:coreProperties>
</file>

<file path=docProps/custom.xml><?xml version="1.0" encoding="utf-8"?>
<Properties xmlns="http://schemas.openxmlformats.org/officeDocument/2006/custom-properties" xmlns:vt="http://schemas.openxmlformats.org/officeDocument/2006/docPropsVTypes"/>
</file>