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INFORMATION CLASSIFICATION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Classification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POL-SEC-008</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A.5.12 — Classification of information</w:t>
            </w:r>
          </w:p>
          <w:p>
            <w:r>
              <w:rPr>
                <w:rFonts w:ascii="Arial" w:cs="Arial" w:eastAsia="Arial" w:hAnsi="Arial"/>
                <w:sz w:val="22"/>
                <w:szCs w:val="22"/>
              </w:rPr>
              <w:t xml:space="preserve">A.5.13 — Labelling of information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Not all information carries the same sensitivity or requires the same level of protection. A consistent classification framework enables the organisation to apply appropriate controls to information based on its value and risk, ensuring that sensitive information is adequately protected without over-securing information that does not require it.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establishes the organisation's information classification framework, defining classification levels, criteria, labelling requirements, and handling obligations for each classification level.</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information assets created, collected, received, stored, or transmitted by the organisation, in all formats — digital and physical.</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Classification Levels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c>
          <w:tcPr>
            <w:tcW w:type="dxa" w:w="3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Public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that is intended for public release and poses no risk to the organisation if disclosed.</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Marketing materials, public website content, published reports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Internal</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Information not intended for public release but posing limited risk if accidentally disclosed to a limited audience.</w:t>
            </w:r>
          </w:p>
        </w:tc>
        <w:tc>
          <w:tcPr>
            <w:tcW w:type="dxa" w:w="3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Internal procedures, staff communications, project plans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Restricted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Sensitive information whose unauthorised disclosure could cause significant harm to the organisation, clients, or individuals.</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Client data, system architecture, security configurations, personal information</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Confidential</w:t>
            </w:r>
          </w:p>
        </w:tc>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most sensitive information whose unauthorised disclosure could cause serious harm, legal liability, or significant financial impact.</w:t>
            </w:r>
          </w:p>
        </w:tc>
        <w:tc>
          <w:tcPr>
            <w:tcW w:type="dxa" w:w="3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Privileged legal advice, executive strategy, credentials, source code, regulated personal data</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Classification Responsibilities</w:t>
      </w:r>
    </w:p>
    <w:p>
      <w:pPr>
        <w:spacing w:before="80" w:after="80"/>
      </w:pPr>
      <w:r>
        <w:rPr>
          <w:rFonts w:ascii="Arial" w:cs="Arial" w:eastAsia="Arial" w:hAnsi="Arial"/>
          <w:sz w:val="22"/>
          <w:szCs w:val="22"/>
        </w:rPr>
        <w:t xml:space="preserve">The Asset Owner is responsible for classifying information assets under their stewardship. Where the originator and Asset Owner differ, the originator must apply an initial classification that the Asset Owner may review. When combining information of different classifications, the combined asset must be classified at the highest level of any component. Users must not downgrade the classification of any information asset without explicit approval from the Asset Owner.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Default Classification</w:t>
      </w:r>
    </w:p>
    <w:p>
      <w:pPr>
        <w:spacing w:before="80" w:after="80"/>
      </w:pPr>
      <w:r>
        <w:rPr>
          <w:rFonts w:ascii="Arial" w:cs="Arial" w:eastAsia="Arial" w:hAnsi="Arial"/>
          <w:sz w:val="22"/>
          <w:szCs w:val="22"/>
        </w:rPr>
        <w:t xml:space="preserve">Where information cannot be clearly classified, it must default to Internal until the Asset Owner provides a definitive classification. Information of unknown origin received from external parties must be treated as Restricted until assessed.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Labelling Requirements</w:t>
      </w:r>
    </w:p>
    <w:p>
      <w:pPr>
        <w:spacing w:before="80" w:after="80"/>
      </w:pPr>
      <w:r>
        <w:rPr>
          <w:rFonts w:ascii="Arial" w:cs="Arial" w:eastAsia="Arial" w:hAnsi="Arial"/>
          <w:sz w:val="22"/>
          <w:szCs w:val="22"/>
        </w:rPr>
        <w:t xml:space="preserve">All information assets must be labelled with their classification. For digital documents, the classification label must appear in the header or footer of every page. For emails, the classification must be stated in the subject line or body. For data stored in systems, metadata classification fields must be populated. Physical documents must be marked clearly on the cover page.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Handling Requirements by Classification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1100"/>
        <w:gridCol w:w="11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Handling Requirement</w:t>
            </w:r>
          </w:p>
        </w:tc>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Public</w:t>
            </w:r>
          </w:p>
        </w:tc>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Internal</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Restricted</w:t>
            </w:r>
          </w:p>
        </w:tc>
        <w:tc>
          <w:tcPr>
            <w:tcW w:type="dxa" w:w="11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Confidential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Storage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approved system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Organisation systems only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Encrypted storage only</w:t>
            </w:r>
          </w:p>
        </w:tc>
        <w:tc>
          <w:tcPr>
            <w:tcW w:type="dxa" w:w="1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Designated secure storage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Transmission</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Any channel</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Organisation channels preferred</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Encrypted channels only</w:t>
            </w:r>
          </w:p>
        </w:tc>
        <w:tc>
          <w:tcPr>
            <w:tcW w:type="dxa" w:w="11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Encrypted channels; explicit authorisation required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Sharing (internal)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Unrestricted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Organisation personnel</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Need-to-know only</w:t>
            </w:r>
          </w:p>
        </w:tc>
        <w:tc>
          <w:tcPr>
            <w:tcW w:type="dxa" w:w="1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Named individuals only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Sharing (external)</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Permitted</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Not permitted without approval</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Contractual controls required</w:t>
            </w:r>
          </w:p>
        </w:tc>
        <w:tc>
          <w:tcPr>
            <w:tcW w:type="dxa" w:w="11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Executive approval required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system processing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Permitted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Managed environment only</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Approved AI systems only</w:t>
            </w:r>
          </w:p>
        </w:tc>
        <w:tc>
          <w:tcPr>
            <w:tcW w:type="dxa" w:w="1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Specifically approved AI systems only; no cloud AI without DPA and executive approval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Printing</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Permitted</w:t>
            </w:r>
          </w:p>
        </w:tc>
        <w:tc>
          <w:tcPr>
            <w:tcW w:type="dxa" w:w="9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Permitted</w:t>
            </w:r>
          </w:p>
        </w:tc>
        <w:tc>
          <w:tcPr>
            <w:tcW w:type="dxa" w:w="11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Controlled; secure disposal required</w:t>
            </w:r>
          </w:p>
        </w:tc>
        <w:tc>
          <w:tcPr>
            <w:tcW w:type="dxa" w:w="11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Discouraged; secure disposal mandatory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Disposal</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Standard deletion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Standard deletion</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Secure deletion</w:t>
            </w:r>
          </w:p>
        </w:tc>
        <w:tc>
          <w:tcPr>
            <w:tcW w:type="dxa" w:w="11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Certified secure destruction</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5.5  AI Output Classification</w:t>
      </w:r>
    </w:p>
    <w:p>
      <w:pPr>
        <w:spacing w:before="80" w:after="80"/>
      </w:pPr>
      <w:r>
        <w:rPr>
          <w:rFonts w:ascii="Arial" w:cs="Arial" w:eastAsia="Arial" w:hAnsi="Arial"/>
          <w:sz w:val="22"/>
          <w:szCs w:val="22"/>
        </w:rPr>
        <w:t xml:space="preserve">AI-generated outputs must be classified at the same level as the most sensitive input data used to generate them. The Asset Owner is responsible for classifying, labelling, and ensuring appropriate protection of AI outputs. Refer to the Responsible Use of AI Policy for AI-specific handling requirements.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Review and Reclassification</w:t>
      </w:r>
    </w:p>
    <w:p>
      <w:pPr>
        <w:spacing w:before="80" w:after="80"/>
      </w:pPr>
      <w:r>
        <w:rPr>
          <w:rFonts w:ascii="Arial" w:cs="Arial" w:eastAsia="Arial" w:hAnsi="Arial"/>
          <w:sz w:val="22"/>
          <w:szCs w:val="22"/>
        </w:rPr>
        <w:t xml:space="preserve">Information classifications must be reviewed periodically to confirm they remain appropriate. The Asset Owner may approve reclassification where the sensitivity of information has genuinely changed. All reclassification decisions must be documented.</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Information Security Policy (POL-SEC-007)</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2026-03-30T13:53:31.374Z</dcterms:created>
  <dcterms:modified xsi:type="dcterms:W3CDTF">2026-03-30T13:53:31.374Z</dcterms:modified>
</cp:coreProperties>
</file>

<file path=docProps/custom.xml><?xml version="1.0" encoding="utf-8"?>
<Properties xmlns="http://schemas.openxmlformats.org/officeDocument/2006/custom-properties" xmlns:vt="http://schemas.openxmlformats.org/officeDocument/2006/docPropsVTypes"/>
</file>