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ACCESS CONTROL POLICY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Access Control Policy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POL-SEC-009</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Security Officer]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Executive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A.5.15 — Access control</w:t>
            </w:r>
          </w:p>
          <w:p>
            <w:r>
              <w:rPr>
                <w:rFonts w:ascii="Arial" w:cs="Arial" w:eastAsia="Arial" w:hAnsi="Arial"/>
                <w:sz w:val="22"/>
                <w:szCs w:val="22"/>
              </w:rPr>
              <w:t xml:space="preserve">A.5.16 — Identity management</w:t>
            </w:r>
          </w:p>
          <w:p>
            <w:r>
              <w:rPr>
                <w:rFonts w:ascii="Arial" w:cs="Arial" w:eastAsia="Arial" w:hAnsi="Arial"/>
                <w:sz w:val="22"/>
                <w:szCs w:val="22"/>
              </w:rPr>
              <w:t xml:space="preserve">A.5.17 — Authentication information</w:t>
            </w:r>
          </w:p>
          <w:p>
            <w:r>
              <w:rPr>
                <w:rFonts w:ascii="Arial" w:cs="Arial" w:eastAsia="Arial" w:hAnsi="Arial"/>
                <w:sz w:val="22"/>
                <w:szCs w:val="22"/>
              </w:rPr>
              <w:t xml:space="preserve">A.5.18 — Access rights</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Controlling access to information, systems, and services is fundamental to protecting the organisation's assets and fulfilling its obligations to clients. This policy establishes the principles and requirements governing who can access what, under what conditions, and how access is managed throughout its lifecycle.</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policy defines the requirements for managing access to the organisation's information assets, systems, and services, ensuring access is granted on a least-privilege, need-to-know basis and managed throughout the access lifecycle.</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This policy applies to all users — internal and external — and all systems, applications, services, and data assets within the organisation's environment.</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Terms and Definitions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Least Privilege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principle that a user, system, or process should be granted only the minimum access rights necessary to perform their function.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Need to Know</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principle that access to specific information should only be granted to those who require it to perform their assigned duties.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Privileged Access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Access rights that go beyond standard user permissions, including administrative, root, or elevated access.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Access Provisioning</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process of granting a user the access rights required for their role.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Access Deprovisioning</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process of revoking access rights when no longer required, typically on role change or departure.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Identity Lifecycle</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end-to-end management of a user identity from creation through modification to termination.</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Policy</w:t>
      </w:r>
    </w:p>
    <w:p>
      <w:pPr>
        <w:pStyle w:val="Heading2"/>
        <w:spacing w:before="180" w:after="80"/>
      </w:pPr>
      <w:r>
        <w:rPr>
          <w:rFonts w:ascii="Arial" w:cs="Arial" w:eastAsia="Arial" w:hAnsi="Arial"/>
          <w:b/>
          <w:bCs/>
          <w:color w:val="2E5496"/>
          <w:sz w:val="26"/>
          <w:szCs w:val="26"/>
        </w:rPr>
        <w:t xml:space="preserve">5.1  Access Control Principles</w:t>
      </w:r>
    </w:p>
    <w:p>
      <w:pPr>
        <w:pStyle w:val="ListParagraph"/>
        <w:numPr>
          <w:ilvl w:val="0"/>
          <w:numId w:val="2"/>
        </w:numPr>
        <w:spacing w:before="40" w:after="40"/>
      </w:pPr>
      <w:r>
        <w:rPr>
          <w:rFonts w:ascii="Arial" w:cs="Arial" w:eastAsia="Arial" w:hAnsi="Arial"/>
          <w:sz w:val="22"/>
          <w:szCs w:val="22"/>
        </w:rPr>
        <w:t xml:space="preserve">Least Privilege: users must be granted only the minimum access rights necessary to perform their authorised functions.</w:t>
      </w:r>
    </w:p>
    <w:p>
      <w:pPr>
        <w:pStyle w:val="ListParagraph"/>
        <w:numPr>
          <w:ilvl w:val="0"/>
          <w:numId w:val="2"/>
        </w:numPr>
        <w:spacing w:before="40" w:after="40"/>
      </w:pPr>
      <w:r>
        <w:rPr>
          <w:rFonts w:ascii="Arial" w:cs="Arial" w:eastAsia="Arial" w:hAnsi="Arial"/>
          <w:sz w:val="22"/>
          <w:szCs w:val="22"/>
        </w:rPr>
        <w:t xml:space="preserve">Need to Know: access to sensitive information must be limited to those who require it for their role.</w:t>
      </w:r>
    </w:p>
    <w:p>
      <w:pPr>
        <w:pStyle w:val="ListParagraph"/>
        <w:numPr>
          <w:ilvl w:val="0"/>
          <w:numId w:val="2"/>
        </w:numPr>
        <w:spacing w:before="40" w:after="40"/>
      </w:pPr>
      <w:r>
        <w:rPr>
          <w:rFonts w:ascii="Arial" w:cs="Arial" w:eastAsia="Arial" w:hAnsi="Arial"/>
          <w:sz w:val="22"/>
          <w:szCs w:val="22"/>
        </w:rPr>
        <w:t xml:space="preserve">Separation of Duties: conflicting responsibilities must be assigned to different individuals to reduce the risk of fraud or error.</w:t>
      </w:r>
    </w:p>
    <w:p>
      <w:pPr>
        <w:pStyle w:val="ListParagraph"/>
        <w:numPr>
          <w:ilvl w:val="0"/>
          <w:numId w:val="2"/>
        </w:numPr>
        <w:spacing w:before="40" w:after="40"/>
      </w:pPr>
      <w:r>
        <w:rPr>
          <w:rFonts w:ascii="Arial" w:cs="Arial" w:eastAsia="Arial" w:hAnsi="Arial"/>
          <w:sz w:val="22"/>
          <w:szCs w:val="22"/>
        </w:rPr>
        <w:t xml:space="preserve">Default Deny: access to systems and data must be denied by default; access must be explicitly granted.</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5.2  User Access Provisioning</w:t>
      </w:r>
    </w:p>
    <w:p>
      <w:pPr>
        <w:spacing w:before="80" w:after="80"/>
      </w:pPr>
      <w:r>
        <w:rPr>
          <w:rFonts w:ascii="Arial" w:cs="Arial" w:eastAsia="Arial" w:hAnsi="Arial"/>
          <w:sz w:val="22"/>
          <w:szCs w:val="22"/>
        </w:rPr>
        <w:t xml:space="preserve">Access must be provisioned through a formal request and approval process. Access requests must include: the identity of the requestor, the systems or data to be accessed, the business justification, and the approval of the requestor's manager. Access must be provisioned promptly upon approval and must not exceed the minimum required for the stated purpose.</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5.3  User Access Deprovisioning</w:t>
      </w:r>
    </w:p>
    <w:p>
      <w:pPr>
        <w:spacing w:before="80" w:after="80"/>
      </w:pPr>
      <w:r>
        <w:rPr>
          <w:rFonts w:ascii="Arial" w:cs="Arial" w:eastAsia="Arial" w:hAnsi="Arial"/>
          <w:sz w:val="22"/>
          <w:szCs w:val="22"/>
        </w:rPr>
        <w:t xml:space="preserve">Access must be revoked promptly when it is no longer required. Specifically:</w:t>
      </w:r>
    </w:p>
    <w:p>
      <w:pPr>
        <w:pStyle w:val="ListParagraph"/>
        <w:numPr>
          <w:ilvl w:val="0"/>
          <w:numId w:val="2"/>
        </w:numPr>
        <w:spacing w:before="40" w:after="40"/>
      </w:pPr>
      <w:r>
        <w:rPr>
          <w:rFonts w:ascii="Arial" w:cs="Arial" w:eastAsia="Arial" w:hAnsi="Arial"/>
          <w:sz w:val="22"/>
          <w:szCs w:val="22"/>
        </w:rPr>
        <w:t xml:space="preserve">On employee departure: all access must be revoked on or before the last working day.</w:t>
      </w:r>
    </w:p>
    <w:p>
      <w:pPr>
        <w:pStyle w:val="ListParagraph"/>
        <w:numPr>
          <w:ilvl w:val="0"/>
          <w:numId w:val="2"/>
        </w:numPr>
        <w:spacing w:before="40" w:after="40"/>
      </w:pPr>
      <w:r>
        <w:rPr>
          <w:rFonts w:ascii="Arial" w:cs="Arial" w:eastAsia="Arial" w:hAnsi="Arial"/>
          <w:sz w:val="22"/>
          <w:szCs w:val="22"/>
        </w:rPr>
        <w:t xml:space="preserve">On role change: access rights must be reviewed and adjusted to reflect the new role within five business days.</w:t>
      </w:r>
    </w:p>
    <w:p>
      <w:pPr>
        <w:pStyle w:val="ListParagraph"/>
        <w:numPr>
          <w:ilvl w:val="0"/>
          <w:numId w:val="2"/>
        </w:numPr>
        <w:spacing w:before="40" w:after="40"/>
      </w:pPr>
      <w:r>
        <w:rPr>
          <w:rFonts w:ascii="Arial" w:cs="Arial" w:eastAsia="Arial" w:hAnsi="Arial"/>
          <w:sz w:val="22"/>
          <w:szCs w:val="22"/>
        </w:rPr>
        <w:t xml:space="preserve">On project completion: access granted for a specific project must be removed within five business days of project completion.</w:t>
      </w:r>
    </w:p>
    <w:p>
      <w:pPr>
        <w:pStyle w:val="ListParagraph"/>
        <w:numPr>
          <w:ilvl w:val="0"/>
          <w:numId w:val="2"/>
        </w:numPr>
        <w:spacing w:before="40" w:after="40"/>
      </w:pPr>
      <w:r>
        <w:rPr>
          <w:rFonts w:ascii="Arial" w:cs="Arial" w:eastAsia="Arial" w:hAnsi="Arial"/>
          <w:sz w:val="22"/>
          <w:szCs w:val="22"/>
        </w:rPr>
        <w:t xml:space="preserve">On contractor completion: all access must be revoked on the last day of engagement.</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5.4  Privileged Access Management</w:t>
      </w:r>
    </w:p>
    <w:p>
      <w:pPr>
        <w:spacing w:before="80" w:after="80"/>
      </w:pPr>
      <w:r>
        <w:rPr>
          <w:rFonts w:ascii="Arial" w:cs="Arial" w:eastAsia="Arial" w:hAnsi="Arial"/>
          <w:sz w:val="22"/>
          <w:szCs w:val="22"/>
        </w:rPr>
        <w:t xml:space="preserve">Privileged access must be subject to enhanced controls:</w:t>
      </w:r>
    </w:p>
    <w:p>
      <w:pPr>
        <w:pStyle w:val="ListParagraph"/>
        <w:numPr>
          <w:ilvl w:val="0"/>
          <w:numId w:val="2"/>
        </w:numPr>
        <w:spacing w:before="40" w:after="40"/>
      </w:pPr>
      <w:r>
        <w:rPr>
          <w:rFonts w:ascii="Arial" w:cs="Arial" w:eastAsia="Arial" w:hAnsi="Arial"/>
          <w:sz w:val="22"/>
          <w:szCs w:val="22"/>
        </w:rPr>
        <w:t xml:space="preserve">Privileged accounts must be separate from standard user accounts.</w:t>
      </w:r>
    </w:p>
    <w:p>
      <w:pPr>
        <w:pStyle w:val="ListParagraph"/>
        <w:numPr>
          <w:ilvl w:val="0"/>
          <w:numId w:val="2"/>
        </w:numPr>
        <w:spacing w:before="40" w:after="40"/>
      </w:pPr>
      <w:r>
        <w:rPr>
          <w:rFonts w:ascii="Arial" w:cs="Arial" w:eastAsia="Arial" w:hAnsi="Arial"/>
          <w:sz w:val="22"/>
          <w:szCs w:val="22"/>
        </w:rPr>
        <w:t xml:space="preserve">All privileged access must require MFA.</w:t>
      </w:r>
    </w:p>
    <w:p>
      <w:pPr>
        <w:pStyle w:val="ListParagraph"/>
        <w:numPr>
          <w:ilvl w:val="0"/>
          <w:numId w:val="2"/>
        </w:numPr>
        <w:spacing w:before="40" w:after="40"/>
      </w:pPr>
      <w:r>
        <w:rPr>
          <w:rFonts w:ascii="Arial" w:cs="Arial" w:eastAsia="Arial" w:hAnsi="Arial"/>
          <w:sz w:val="22"/>
          <w:szCs w:val="22"/>
        </w:rPr>
        <w:t xml:space="preserve">Privileged sessions must be logged and audit logs reviewed regularly.</w:t>
      </w:r>
    </w:p>
    <w:p>
      <w:pPr>
        <w:pStyle w:val="ListParagraph"/>
        <w:numPr>
          <w:ilvl w:val="0"/>
          <w:numId w:val="2"/>
        </w:numPr>
        <w:spacing w:before="40" w:after="40"/>
      </w:pPr>
      <w:r>
        <w:rPr>
          <w:rFonts w:ascii="Arial" w:cs="Arial" w:eastAsia="Arial" w:hAnsi="Arial"/>
          <w:sz w:val="22"/>
          <w:szCs w:val="22"/>
        </w:rPr>
        <w:t xml:space="preserve">Just-in-time access must be used for privileged operations where feasible.</w:t>
      </w:r>
    </w:p>
    <w:p>
      <w:pPr>
        <w:pStyle w:val="ListParagraph"/>
        <w:numPr>
          <w:ilvl w:val="0"/>
          <w:numId w:val="2"/>
        </w:numPr>
        <w:spacing w:before="40" w:after="40"/>
      </w:pPr>
      <w:r>
        <w:rPr>
          <w:rFonts w:ascii="Arial" w:cs="Arial" w:eastAsia="Arial" w:hAnsi="Arial"/>
          <w:sz w:val="22"/>
          <w:szCs w:val="22"/>
        </w:rPr>
        <w:t xml:space="preserve">Default vendor or application credentials must be changed before deployment.</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5.5  Access Reviews</w:t>
      </w:r>
    </w:p>
    <w:p>
      <w:pPr>
        <w:spacing w:before="80" w:after="80"/>
      </w:pPr>
      <w:r>
        <w:rPr>
          <w:rFonts w:ascii="Arial" w:cs="Arial" w:eastAsia="Arial" w:hAnsi="Arial"/>
          <w:sz w:val="22"/>
          <w:szCs w:val="22"/>
        </w:rPr>
        <w:t xml:space="preserve">Access rights must be reviewed regularly to ensure they remain appropriate:</w:t>
      </w:r>
    </w:p>
    <w:p>
      <w:pPr>
        <w:pStyle w:val="ListParagraph"/>
        <w:numPr>
          <w:ilvl w:val="0"/>
          <w:numId w:val="2"/>
        </w:numPr>
        <w:spacing w:before="40" w:after="40"/>
      </w:pPr>
      <w:r>
        <w:rPr>
          <w:rFonts w:ascii="Arial" w:cs="Arial" w:eastAsia="Arial" w:hAnsi="Arial"/>
          <w:sz w:val="22"/>
          <w:szCs w:val="22"/>
        </w:rPr>
        <w:t xml:space="preserve">All user access rights must be reviewed at least every six months.</w:t>
      </w:r>
    </w:p>
    <w:p>
      <w:pPr>
        <w:pStyle w:val="ListParagraph"/>
        <w:numPr>
          <w:ilvl w:val="0"/>
          <w:numId w:val="2"/>
        </w:numPr>
        <w:spacing w:before="40" w:after="40"/>
      </w:pPr>
      <w:r>
        <w:rPr>
          <w:rFonts w:ascii="Arial" w:cs="Arial" w:eastAsia="Arial" w:hAnsi="Arial"/>
          <w:sz w:val="22"/>
          <w:szCs w:val="22"/>
        </w:rPr>
        <w:t xml:space="preserve">Privileged access rights must be reviewed at least every three months.</w:t>
      </w:r>
    </w:p>
    <w:p>
      <w:pPr>
        <w:pStyle w:val="ListParagraph"/>
        <w:numPr>
          <w:ilvl w:val="0"/>
          <w:numId w:val="2"/>
        </w:numPr>
        <w:spacing w:before="40" w:after="40"/>
      </w:pPr>
      <w:r>
        <w:rPr>
          <w:rFonts w:ascii="Arial" w:cs="Arial" w:eastAsia="Arial" w:hAnsi="Arial"/>
          <w:sz w:val="22"/>
          <w:szCs w:val="22"/>
        </w:rPr>
        <w:t xml:space="preserve">Access to Restricted and Confidential data must be reviewed at least quarterly.</w:t>
      </w:r>
    </w:p>
    <w:p>
      <w:pPr>
        <w:spacing w:before="80" w:after="80"/>
      </w:pPr>
      <w:r>
        <w:rPr>
          <w:rFonts w:ascii="Arial" w:cs="Arial" w:eastAsia="Arial" w:hAnsi="Arial"/>
          <w:sz w:val="22"/>
          <w:szCs w:val="22"/>
        </w:rPr>
        <w:t xml:space="preserve">Reviews must be completed by the relevant system or data owner. Inappropriate access identified during reviews must be revoked promptly.</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5.6  Authentication Requirements</w:t>
      </w:r>
    </w:p>
    <w:p>
      <w:pPr>
        <w:spacing w:before="80" w:after="80"/>
      </w:pPr>
      <w:r>
        <w:rPr>
          <w:rFonts w:ascii="Arial" w:cs="Arial" w:eastAsia="Arial" w:hAnsi="Arial"/>
          <w:sz w:val="22"/>
          <w:szCs w:val="22"/>
        </w:rPr>
        <w:t xml:space="preserve">Authentication requirements must be commensurate with the sensitivity of the resource being accessed. MFA is mandatory for all privileged access, remote access, and access to systems processing Restricted or Confidential information. Refer to the Credential Management Policy for password and credential standards.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5.7  Third-Party Access</w:t>
      </w:r>
    </w:p>
    <w:p>
      <w:pPr>
        <w:spacing w:before="80" w:after="80"/>
      </w:pPr>
      <w:r>
        <w:rPr>
          <w:rFonts w:ascii="Arial" w:cs="Arial" w:eastAsia="Arial" w:hAnsi="Arial"/>
          <w:sz w:val="22"/>
          <w:szCs w:val="22"/>
        </w:rPr>
        <w:t xml:space="preserve">Third parties requiring access to organisational systems or data must be subject to formal access provisioning through the same process as internal users. Third-party access must be scoped to the minimum required for the engagement, time-limited, subject to MFA, and revoked immediately on completion of the engagement or on contract termination.</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5.8  Remote Access</w:t>
      </w:r>
    </w:p>
    <w:p>
      <w:pPr>
        <w:spacing w:before="80" w:after="80"/>
      </w:pPr>
      <w:r>
        <w:rPr>
          <w:rFonts w:ascii="Arial" w:cs="Arial" w:eastAsia="Arial" w:hAnsi="Arial"/>
          <w:sz w:val="22"/>
          <w:szCs w:val="22"/>
        </w:rPr>
        <w:t xml:space="preserve">Remote access to organisational systems is only permitted through an approved VPN connection with MFA enforced. Refer to the Mobile Device and Remote Working Policy for full remote access requirements.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Compliance and Enforcement</w:t>
      </w:r>
    </w:p>
    <w:p>
      <w:pPr>
        <w:spacing w:before="80" w:after="80"/>
      </w:pPr>
      <w:r>
        <w:rPr>
          <w:rFonts w:ascii="Arial" w:cs="Arial" w:eastAsia="Arial" w:hAnsi="Arial"/>
          <w:sz w:val="22"/>
          <w:szCs w:val="22"/>
        </w:rPr>
        <w:t xml:space="preserve">Compliance with this policy is mandatory for all personnel within its scope. The organisation will conduct periodic reviews and audits to assess adherence.</w:t>
      </w:r>
    </w:p>
    <w:p>
      <w:pPr>
        <w:spacing w:before="80" w:after="80"/>
      </w:pPr>
      <w:r>
        <w:rPr>
          <w:rFonts w:ascii="Arial" w:cs="Arial" w:eastAsia="Arial" w:hAnsi="Arial"/>
          <w:sz w:val="22"/>
          <w:szCs w:val="22"/>
        </w:rPr>
        <w:t xml:space="preserve">Where an individual fails to comply with, or deliberately circumvents, the requirements of this policy, disciplinary action will be initiated in accordance with the organisation's Disciplinary Procedure. Depending on the severity of the breach, this may also result in referral to relevant law enforcement bodies.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Related Documents</w:t>
      </w:r>
    </w:p>
    <w:p>
      <w:pPr>
        <w:pStyle w:val="ListParagraph"/>
        <w:numPr>
          <w:ilvl w:val="0"/>
          <w:numId w:val="2"/>
        </w:numPr>
        <w:spacing w:before="40" w:after="40"/>
      </w:pPr>
      <w:r>
        <w:rPr>
          <w:rFonts w:ascii="Arial" w:cs="Arial" w:eastAsia="Arial" w:hAnsi="Arial"/>
          <w:sz w:val="22"/>
          <w:szCs w:val="22"/>
        </w:rPr>
        <w:t xml:space="preserve">Credential Management Policy (POL-SEC-005)</w:t>
      </w:r>
    </w:p>
    <w:p>
      <w:pPr>
        <w:pStyle w:val="ListParagraph"/>
        <w:numPr>
          <w:ilvl w:val="0"/>
          <w:numId w:val="2"/>
        </w:numPr>
        <w:spacing w:before="40" w:after="40"/>
      </w:pPr>
      <w:r>
        <w:rPr>
          <w:rFonts w:ascii="Arial" w:cs="Arial" w:eastAsia="Arial" w:hAnsi="Arial"/>
          <w:sz w:val="22"/>
          <w:szCs w:val="22"/>
        </w:rPr>
        <w:t xml:space="preserve">Information Classification Policy (POL-SEC-008)</w:t>
      </w:r>
    </w:p>
    <w:p>
      <w:pPr>
        <w:pStyle w:val="ListParagraph"/>
        <w:numPr>
          <w:ilvl w:val="0"/>
          <w:numId w:val="2"/>
        </w:numPr>
        <w:spacing w:before="40" w:after="40"/>
      </w:pPr>
      <w:r>
        <w:rPr>
          <w:rFonts w:ascii="Arial" w:cs="Arial" w:eastAsia="Arial" w:hAnsi="Arial"/>
          <w:sz w:val="22"/>
          <w:szCs w:val="22"/>
        </w:rPr>
        <w:t xml:space="preserve">Logging and Monitoring Policy (POL-SEC-003)</w:t>
      </w:r>
    </w:p>
    <w:p>
      <w:pPr>
        <w:pStyle w:val="ListParagraph"/>
        <w:numPr>
          <w:ilvl w:val="0"/>
          <w:numId w:val="2"/>
        </w:numPr>
        <w:spacing w:before="40" w:after="40"/>
      </w:pPr>
      <w:r>
        <w:rPr>
          <w:rFonts w:ascii="Arial" w:cs="Arial" w:eastAsia="Arial" w:hAnsi="Arial"/>
          <w:sz w:val="22"/>
          <w:szCs w:val="22"/>
        </w:rPr>
        <w:t xml:space="preserve">Mobile Device and Remote Working Policy</w:t>
      </w:r>
    </w:p>
    <w:p>
      <w:pPr>
        <w:pStyle w:val="ListParagraph"/>
        <w:numPr>
          <w:ilvl w:val="0"/>
          <w:numId w:val="2"/>
        </w:numPr>
        <w:spacing w:before="40" w:after="40"/>
      </w:pPr>
      <w:r>
        <w:rPr>
          <w:rFonts w:ascii="Arial" w:cs="Arial" w:eastAsia="Arial" w:hAnsi="Arial"/>
          <w:sz w:val="22"/>
          <w:szCs w:val="22"/>
        </w:rPr>
        <w:t xml:space="preserve">Disciplinary Procedure (POL-HR-001)</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a security incident, or updates to applicable standards and regulatory requirements. The policy owner is responsible for initiating and managing the review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2026-03-30T13:53:31.424Z</dcterms:created>
  <dcterms:modified xsi:type="dcterms:W3CDTF">2026-03-30T13:53:31.424Z</dcterms:modified>
</cp:coreProperties>
</file>

<file path=docProps/custom.xml><?xml version="1.0" encoding="utf-8"?>
<Properties xmlns="http://schemas.openxmlformats.org/officeDocument/2006/custom-properties" xmlns:vt="http://schemas.openxmlformats.org/officeDocument/2006/docPropsVTypes"/>
</file>