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ind w:left="220" w:right="220"/>
      </w:pPr>
      <w:r>
        <w:rPr>
          <w:rFonts w:ascii="Arial" w:cs="Arial" w:eastAsia="Arial" w:hAnsi="Arial"/>
          <w:b/>
          <w:bCs/>
          <w:color w:val="FFFFFF"/>
          <w:sz w:val="48"/>
          <w:szCs w:val="48"/>
        </w:rPr>
        <w:t xml:space="preserve">SECURITY EVENT AND INCIDENT RESPONSE POLICY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Title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Security Event and Incident Response Policy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ID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POL-SEC-011</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Version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Classification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Internal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Owner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[Information Security Officer]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Approved By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[CEO / Executive Management]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Effective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Review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Status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Active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3864"/>
                <w:sz w:val="22"/>
                <w:szCs w:val="22"/>
              </w:rPr>
              <w:t xml:space="preserve">ISO/IEC 27001:2022 — Annex A Controls Referenced</w:t>
            </w:r>
          </w:p>
          <w:p>
            <w:r>
              <w:rPr>
                <w:rFonts w:ascii="Arial" w:cs="Arial" w:eastAsia="Arial" w:hAnsi="Arial"/>
                <w:sz w:val="22"/>
                <w:szCs w:val="22"/>
              </w:rPr>
              <w:t xml:space="preserve">A.5.24 — Information security incident management planning and preparation</w:t>
            </w:r>
          </w:p>
          <w:p>
            <w:r>
              <w:rPr>
                <w:rFonts w:ascii="Arial" w:cs="Arial" w:eastAsia="Arial" w:hAnsi="Arial"/>
                <w:sz w:val="22"/>
                <w:szCs w:val="22"/>
              </w:rPr>
              <w:t xml:space="preserve">A.5.25 — Assessment and decision on information security events</w:t>
            </w:r>
          </w:p>
          <w:p>
            <w:r>
              <w:rPr>
                <w:rFonts w:ascii="Arial" w:cs="Arial" w:eastAsia="Arial" w:hAnsi="Arial"/>
                <w:sz w:val="22"/>
                <w:szCs w:val="22"/>
              </w:rPr>
              <w:t xml:space="preserve">A.5.26 — Response to information security incidents</w:t>
            </w:r>
          </w:p>
          <w:p>
            <w:r>
              <w:rPr>
                <w:rFonts w:ascii="Arial" w:cs="Arial" w:eastAsia="Arial" w:hAnsi="Arial"/>
                <w:sz w:val="22"/>
                <w:szCs w:val="22"/>
              </w:rPr>
              <w:t xml:space="preserve">A.5.27 — Learning from information security incidents</w:t>
            </w:r>
          </w:p>
          <w:p>
            <w:r>
              <w:rPr>
                <w:rFonts w:ascii="Arial" w:cs="Arial" w:eastAsia="Arial" w:hAnsi="Arial"/>
                <w:sz w:val="22"/>
                <w:szCs w:val="22"/>
              </w:rPr>
              <w:t xml:space="preserve">A.5.28 — Collection of evidence</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  Overview</w:t>
      </w:r>
    </w:p>
    <w:p>
      <w:pPr>
        <w:spacing w:before="80" w:after="80"/>
      </w:pPr>
      <w:r>
        <w:rPr>
          <w:rFonts w:ascii="Arial" w:cs="Arial" w:eastAsia="Arial" w:hAnsi="Arial"/>
          <w:sz w:val="22"/>
          <w:szCs w:val="22"/>
        </w:rPr>
        <w:t xml:space="preserve">Despite the best preventive controls, security incidents can and do occur. A well-prepared, consistently executed incident response capability minimises the impact of incidents, enables rapid recovery, and ensures the organisation learns from events to continuously improve its security posture.</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2.  Purpose</w:t>
      </w:r>
    </w:p>
    <w:p>
      <w:pPr>
        <w:spacing w:before="80" w:after="80"/>
      </w:pPr>
      <w:r>
        <w:rPr>
          <w:rFonts w:ascii="Arial" w:cs="Arial" w:eastAsia="Arial" w:hAnsi="Arial"/>
          <w:sz w:val="22"/>
          <w:szCs w:val="22"/>
        </w:rPr>
        <w:t xml:space="preserve">This policy establishes the organisation's approach to identifying, reporting, assessing, responding to, and learning from information security events and incidents.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3.  Scope</w:t>
      </w:r>
    </w:p>
    <w:p>
      <w:pPr>
        <w:spacing w:before="80" w:after="80"/>
      </w:pPr>
      <w:r>
        <w:rPr>
          <w:rFonts w:ascii="Arial" w:cs="Arial" w:eastAsia="Arial" w:hAnsi="Arial"/>
          <w:sz w:val="22"/>
          <w:szCs w:val="22"/>
        </w:rPr>
        <w:t xml:space="preserve">This policy applies to all information security events and incidents affecting the organisation's systems, data, personnel, or clients, regardless of origin.</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4.  Terms and Definitions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Term</w:t>
            </w:r>
          </w:p>
        </w:tc>
        <w:tc>
          <w:tcPr>
            <w:tcW w:type="dxa" w:w="62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Security Event</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Any observable occurrence in a system or network that may have security relevance.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Security Incident</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 security event that has been assessed as having caused, or being likely to cause, harm to the confidentiality, integrity, or availability of the organisation's information or systems.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Triage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The initial assessment of a security event to determine its severity and required response.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Containment</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Actions taken to limit the scope and impact of a security incident.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Eradication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The removal of the root cause of a security incident from the organisation's environment.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Recovery</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The process of restoring affected systems and services to normal operation following an incident.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Post-Incident Review</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 structured analysis of an incident conducted after resolution to identify lessons learned and improvements.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Evidence Preservation</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The collection and secure storage of digital evidence in a manner that maintains its integrity for investigation or legal proceedings.</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5.  Incident Severity Classification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426"/>
        <w:gridCol w:w="240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Severity</w:t>
            </w:r>
          </w:p>
        </w:tc>
        <w:tc>
          <w:tcPr>
            <w:tcW w:type="dxa" w:w="54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Criteria</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Response Time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Critical (P1)</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Confirmed breach with data exposure, ransomware, full system compromise, or significant client impact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Immediate — within 1 hour</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High (P2)</w:t>
            </w:r>
          </w:p>
        </w:tc>
        <w:tc>
          <w:tcPr>
            <w:tcW w:type="dxa" w:w="54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Suspected breach, active threat, significant service degradation, or potential data exposure</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Within 4 hours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Medium (P3)</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Isolated security policy violation, malware on single endpoint, or suspicious behaviour requiring investigation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Within 24 hours</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Low (P4)</w:t>
            </w:r>
          </w:p>
        </w:tc>
        <w:tc>
          <w:tcPr>
            <w:tcW w:type="dxa" w:w="54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Minor policy breach, unsuccessful attack, or security event with no apparent impact</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Within 5 business days</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6.  Policy</w:t>
      </w:r>
    </w:p>
    <w:p>
      <w:pPr>
        <w:pStyle w:val="Heading2"/>
        <w:spacing w:before="180" w:after="80"/>
      </w:pPr>
      <w:r>
        <w:rPr>
          <w:rFonts w:ascii="Arial" w:cs="Arial" w:eastAsia="Arial" w:hAnsi="Arial"/>
          <w:b/>
          <w:bCs/>
          <w:color w:val="2E5496"/>
          <w:sz w:val="26"/>
          <w:szCs w:val="26"/>
        </w:rPr>
        <w:t xml:space="preserve">6.1  Reporting</w:t>
      </w:r>
    </w:p>
    <w:p>
      <w:pPr>
        <w:spacing w:before="80" w:after="80"/>
      </w:pPr>
      <w:r>
        <w:rPr>
          <w:rFonts w:ascii="Arial" w:cs="Arial" w:eastAsia="Arial" w:hAnsi="Arial"/>
          <w:sz w:val="22"/>
          <w:szCs w:val="22"/>
        </w:rPr>
        <w:t xml:space="preserve">All personnel must report suspected or confirmed security events and incidents immediately to the Information Security Officer. Reports can be made by email, phone, or through the IT helpdesk ticketing system. Personnel must not attempt to investigate or resolve a suspected incident themselves without the involvement and direction of the Information Security Officer. Suspected data breaches involving personal information must be reported in accordance with the Privacy Policy.</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6.2  Triage and Assessment</w:t>
      </w:r>
    </w:p>
    <w:p>
      <w:pPr>
        <w:spacing w:before="80" w:after="80"/>
      </w:pPr>
      <w:r>
        <w:rPr>
          <w:rFonts w:ascii="Arial" w:cs="Arial" w:eastAsia="Arial" w:hAnsi="Arial"/>
          <w:sz w:val="22"/>
          <w:szCs w:val="22"/>
        </w:rPr>
        <w:t xml:space="preserve">Upon receiving a report, the Information Security Officer must: acknowledge receipt of the report; conduct an initial triage to assess the validity, nature, and potential severity of the event; assign a severity classification; activate the appropriate response team; and notify executive management for P1 and P2 incidents.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6.3  Containment</w:t>
      </w:r>
    </w:p>
    <w:p>
      <w:pPr>
        <w:spacing w:before="80" w:after="80"/>
      </w:pPr>
      <w:r>
        <w:rPr>
          <w:rFonts w:ascii="Arial" w:cs="Arial" w:eastAsia="Arial" w:hAnsi="Arial"/>
          <w:sz w:val="22"/>
          <w:szCs w:val="22"/>
        </w:rPr>
        <w:t xml:space="preserve">Containment actions must be taken as quickly as possible to limit the scope and impact of the incident. Containment may include isolating affected systems from the network, revoking compromised credentials, disabling affected accounts, blocking malicious traffic, and preserving evidence before taking remediation actions. All containment actions must be documented with timestamps.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6.4  Evidence Preservation</w:t>
      </w:r>
    </w:p>
    <w:p>
      <w:pPr>
        <w:spacing w:before="80" w:after="80"/>
      </w:pPr>
      <w:r>
        <w:rPr>
          <w:rFonts w:ascii="Arial" w:cs="Arial" w:eastAsia="Arial" w:hAnsi="Arial"/>
          <w:sz w:val="22"/>
          <w:szCs w:val="22"/>
        </w:rPr>
        <w:t xml:space="preserve">Evidence relevant to the investigation must be collected and preserved in a manner that maintains its integrity. This includes: system logs, network traffic captures, memory dumps, and affected files. Evidence must be stored securely with access limited to the incident response team and any engaged external forensic resources. Chain of custody must be maintained for evidence that may be required in legal proceedings.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6.5  Eradication and Recovery</w:t>
      </w:r>
    </w:p>
    <w:p>
      <w:pPr>
        <w:spacing w:before="80" w:after="80"/>
      </w:pPr>
      <w:r>
        <w:rPr>
          <w:rFonts w:ascii="Arial" w:cs="Arial" w:eastAsia="Arial" w:hAnsi="Arial"/>
          <w:sz w:val="22"/>
          <w:szCs w:val="22"/>
        </w:rPr>
        <w:t xml:space="preserve">Following containment, the root cause of the incident must be identified and removed from the environment. Recovery actions must restore affected systems to a known-good state before returning them to operation. Systems must be verified as clean before restoration to production. Recovery timelines must be agreed with affected business areas.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6.6  Communication</w:t>
      </w:r>
    </w:p>
    <w:p>
      <w:pPr>
        <w:spacing w:before="80" w:after="80"/>
      </w:pPr>
      <w:r>
        <w:rPr>
          <w:rFonts w:ascii="Arial" w:cs="Arial" w:eastAsia="Arial" w:hAnsi="Arial"/>
          <w:sz w:val="22"/>
          <w:szCs w:val="22"/>
        </w:rPr>
        <w:t xml:space="preserve">Communications during and after an incident must be managed carefully:</w:t>
      </w:r>
    </w:p>
    <w:p>
      <w:pPr>
        <w:pStyle w:val="ListParagraph"/>
        <w:numPr>
          <w:ilvl w:val="0"/>
          <w:numId w:val="2"/>
        </w:numPr>
        <w:spacing w:before="40" w:after="40"/>
      </w:pPr>
      <w:r>
        <w:rPr>
          <w:rFonts w:ascii="Arial" w:cs="Arial" w:eastAsia="Arial" w:hAnsi="Arial"/>
          <w:sz w:val="22"/>
          <w:szCs w:val="22"/>
        </w:rPr>
        <w:t xml:space="preserve">Internal communications must be coordinated by the Information Security Officer with escalation to executive management as appropriate.</w:t>
      </w:r>
    </w:p>
    <w:p>
      <w:pPr>
        <w:pStyle w:val="ListParagraph"/>
        <w:numPr>
          <w:ilvl w:val="0"/>
          <w:numId w:val="2"/>
        </w:numPr>
        <w:spacing w:before="40" w:after="40"/>
      </w:pPr>
      <w:r>
        <w:rPr>
          <w:rFonts w:ascii="Arial" w:cs="Arial" w:eastAsia="Arial" w:hAnsi="Arial"/>
          <w:sz w:val="22"/>
          <w:szCs w:val="22"/>
        </w:rPr>
        <w:t xml:space="preserve">External communications — including to clients, regulators, law enforcement, or media — must be approved by the CEO before release.</w:t>
      </w:r>
    </w:p>
    <w:p>
      <w:pPr>
        <w:pStyle w:val="ListParagraph"/>
        <w:numPr>
          <w:ilvl w:val="0"/>
          <w:numId w:val="2"/>
        </w:numPr>
        <w:spacing w:before="40" w:after="40"/>
      </w:pPr>
      <w:r>
        <w:rPr>
          <w:rFonts w:ascii="Arial" w:cs="Arial" w:eastAsia="Arial" w:hAnsi="Arial"/>
          <w:sz w:val="22"/>
          <w:szCs w:val="22"/>
        </w:rPr>
        <w:t xml:space="preserve">Notifiable data breaches must be reported to the Office of the Australian Information Commissioner (OAIC) in accordance with the Privacy Act 1988 (Cth) and the Notifiable Data Breach scheme.</w:t>
      </w:r>
    </w:p>
    <w:p>
      <w:pPr>
        <w:pStyle w:val="ListParagraph"/>
        <w:numPr>
          <w:ilvl w:val="0"/>
          <w:numId w:val="2"/>
        </w:numPr>
        <w:spacing w:before="40" w:after="40"/>
      </w:pPr>
      <w:r>
        <w:rPr>
          <w:rFonts w:ascii="Arial" w:cs="Arial" w:eastAsia="Arial" w:hAnsi="Arial"/>
          <w:sz w:val="22"/>
          <w:szCs w:val="22"/>
        </w:rPr>
        <w:t xml:space="preserve">Cyber security incidents meeting the threshold under the Cyber Security Act 2024 (Cth) must be reported to the Australian Cyber Security Centre (ACSC).</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6.7  Post-Incident Review</w:t>
      </w:r>
    </w:p>
    <w:p>
      <w:pPr>
        <w:spacing w:before="80" w:after="80"/>
      </w:pPr>
      <w:r>
        <w:rPr>
          <w:rFonts w:ascii="Arial" w:cs="Arial" w:eastAsia="Arial" w:hAnsi="Arial"/>
          <w:sz w:val="22"/>
          <w:szCs w:val="22"/>
        </w:rPr>
        <w:t xml:space="preserve">A post-incident review must be conducted within five business days of closing every P1 and P2 incident, and within 20 business days for P3 incidents. The review must document: a chronological timeline of the incident, root cause analysis, effectiveness of the response, lessons learned, and recommended improvements. Review findings must be actioned and tracked to completion. Findings that require policy updates must be escalated to the relevant policy owner.</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6.8  AI-Related Incidents</w:t>
      </w:r>
    </w:p>
    <w:p>
      <w:pPr>
        <w:spacing w:before="80" w:after="80"/>
      </w:pPr>
      <w:r>
        <w:rPr>
          <w:rFonts w:ascii="Arial" w:cs="Arial" w:eastAsia="Arial" w:hAnsi="Arial"/>
          <w:sz w:val="22"/>
          <w:szCs w:val="22"/>
        </w:rPr>
        <w:t xml:space="preserve">Security incidents involving AI systems — including data leakage via AI tools, prompt injection attacks, AI-generated security threats, or AI system misuse — must be managed in accordance with this policy and escalated to the AI Compliance Officer in parallel with the Information Security Officer. Refer to the Responsible Use of AI Policy and AI Governance Policy for AI-specific incident reporting obligations.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7.  Compliance and Enforcement</w:t>
      </w:r>
    </w:p>
    <w:p>
      <w:pPr>
        <w:spacing w:before="80" w:after="80"/>
      </w:pPr>
      <w:r>
        <w:rPr>
          <w:rFonts w:ascii="Arial" w:cs="Arial" w:eastAsia="Arial" w:hAnsi="Arial"/>
          <w:sz w:val="22"/>
          <w:szCs w:val="22"/>
        </w:rPr>
        <w:t xml:space="preserve">Compliance with this policy is mandatory for all personnel within its scope. The organisation will conduct periodic reviews and audits to assess adherence.</w:t>
      </w:r>
    </w:p>
    <w:p>
      <w:pPr>
        <w:spacing w:before="80" w:after="80"/>
      </w:pPr>
      <w:r>
        <w:rPr>
          <w:rFonts w:ascii="Arial" w:cs="Arial" w:eastAsia="Arial" w:hAnsi="Arial"/>
          <w:sz w:val="22"/>
          <w:szCs w:val="22"/>
        </w:rPr>
        <w:t xml:space="preserve">Where an individual fails to comply with, or deliberately circumvents, the requirements of this policy, disciplinary action will be initiated in accordance with the organisation's Disciplinary Procedure. Depending on the severity of the breach, this may also result in referral to relevant law enforcement bodies.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8.  Related Documents</w:t>
      </w:r>
    </w:p>
    <w:p>
      <w:pPr>
        <w:pStyle w:val="ListParagraph"/>
        <w:numPr>
          <w:ilvl w:val="0"/>
          <w:numId w:val="2"/>
        </w:numPr>
        <w:spacing w:before="40" w:after="40"/>
      </w:pPr>
      <w:r>
        <w:rPr>
          <w:rFonts w:ascii="Arial" w:cs="Arial" w:eastAsia="Arial" w:hAnsi="Arial"/>
          <w:sz w:val="22"/>
          <w:szCs w:val="22"/>
        </w:rPr>
        <w:t xml:space="preserve">Privacy Policy (POL-GEN-002)</w:t>
      </w:r>
    </w:p>
    <w:p>
      <w:pPr>
        <w:pStyle w:val="ListParagraph"/>
        <w:numPr>
          <w:ilvl w:val="0"/>
          <w:numId w:val="2"/>
        </w:numPr>
        <w:spacing w:before="40" w:after="40"/>
      </w:pPr>
      <w:r>
        <w:rPr>
          <w:rFonts w:ascii="Arial" w:cs="Arial" w:eastAsia="Arial" w:hAnsi="Arial"/>
          <w:sz w:val="22"/>
          <w:szCs w:val="22"/>
        </w:rPr>
        <w:t xml:space="preserve">Logging and Monitoring Policy (POL-SEC-003)</w:t>
      </w:r>
    </w:p>
    <w:p>
      <w:pPr>
        <w:pStyle w:val="ListParagraph"/>
        <w:numPr>
          <w:ilvl w:val="0"/>
          <w:numId w:val="2"/>
        </w:numPr>
        <w:spacing w:before="40" w:after="40"/>
      </w:pPr>
      <w:r>
        <w:rPr>
          <w:rFonts w:ascii="Arial" w:cs="Arial" w:eastAsia="Arial" w:hAnsi="Arial"/>
          <w:sz w:val="22"/>
          <w:szCs w:val="22"/>
        </w:rPr>
        <w:t xml:space="preserve">Access Control Policy (POL-SEC-009)</w:t>
      </w:r>
    </w:p>
    <w:p>
      <w:pPr>
        <w:pStyle w:val="ListParagraph"/>
        <w:numPr>
          <w:ilvl w:val="0"/>
          <w:numId w:val="2"/>
        </w:numPr>
        <w:spacing w:before="40" w:after="40"/>
      </w:pPr>
      <w:r>
        <w:rPr>
          <w:rFonts w:ascii="Arial" w:cs="Arial" w:eastAsia="Arial" w:hAnsi="Arial"/>
          <w:sz w:val="22"/>
          <w:szCs w:val="22"/>
        </w:rPr>
        <w:t xml:space="preserve">Credential Management Policy (POL-SEC-005)</w:t>
      </w:r>
    </w:p>
    <w:p>
      <w:pPr>
        <w:pStyle w:val="ListParagraph"/>
        <w:numPr>
          <w:ilvl w:val="0"/>
          <w:numId w:val="2"/>
        </w:numPr>
        <w:spacing w:before="40" w:after="40"/>
      </w:pPr>
      <w:r>
        <w:rPr>
          <w:rFonts w:ascii="Arial" w:cs="Arial" w:eastAsia="Arial" w:hAnsi="Arial"/>
          <w:sz w:val="22"/>
          <w:szCs w:val="22"/>
        </w:rPr>
        <w:t xml:space="preserve">AI Governance Policy (POL-AI-002)</w:t>
      </w:r>
    </w:p>
    <w:p>
      <w:pPr>
        <w:pStyle w:val="ListParagraph"/>
        <w:numPr>
          <w:ilvl w:val="0"/>
          <w:numId w:val="2"/>
        </w:numPr>
        <w:spacing w:before="40" w:after="40"/>
      </w:pPr>
      <w:r>
        <w:rPr>
          <w:rFonts w:ascii="Arial" w:cs="Arial" w:eastAsia="Arial" w:hAnsi="Arial"/>
          <w:sz w:val="22"/>
          <w:szCs w:val="22"/>
        </w:rPr>
        <w:t xml:space="preserve">Responsible Use of AI Policy (POL-AI-001)</w:t>
      </w:r>
    </w:p>
    <w:p>
      <w:pPr>
        <w:pStyle w:val="ListParagraph"/>
        <w:numPr>
          <w:ilvl w:val="0"/>
          <w:numId w:val="2"/>
        </w:numPr>
        <w:spacing w:before="40" w:after="40"/>
      </w:pPr>
      <w:r>
        <w:rPr>
          <w:rFonts w:ascii="Arial" w:cs="Arial" w:eastAsia="Arial" w:hAnsi="Arial"/>
          <w:sz w:val="22"/>
          <w:szCs w:val="22"/>
        </w:rPr>
        <w:t xml:space="preserve">Privacy Act 1988 (Cth) — Notifiable Data Breach scheme</w:t>
      </w:r>
    </w:p>
    <w:p>
      <w:pPr>
        <w:pStyle w:val="ListParagraph"/>
        <w:numPr>
          <w:ilvl w:val="0"/>
          <w:numId w:val="2"/>
        </w:numPr>
        <w:spacing w:before="40" w:after="40"/>
      </w:pPr>
      <w:r>
        <w:rPr>
          <w:rFonts w:ascii="Arial" w:cs="Arial" w:eastAsia="Arial" w:hAnsi="Arial"/>
          <w:sz w:val="22"/>
          <w:szCs w:val="22"/>
        </w:rPr>
        <w:t xml:space="preserve">Cyber Security Act 2024 (Cth)</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9.  Policy Review</w:t>
      </w:r>
    </w:p>
    <w:p>
      <w:pPr>
        <w:spacing w:before="80" w:after="80"/>
      </w:pPr>
      <w:r>
        <w:rPr>
          <w:rFonts w:ascii="Arial" w:cs="Arial" w:eastAsia="Arial" w:hAnsi="Arial"/>
          <w:sz w:val="22"/>
          <w:szCs w:val="22"/>
        </w:rPr>
        <w:t xml:space="preserve">This policy shall be reviewed at least annually or following any significant change to the organisation's environment, a security incident, or updates to applicable standards and regulatory requirements. The policy owner is responsible for initiating and managing the review process.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10.  Document Revision History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26"/>
        <w:gridCol w:w="1700"/>
      </w:tblGrid>
      <w:tr>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46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Author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Initial release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[Author Name]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5496"/>
      <w:sz w:val="26"/>
      <w:szCs w:val="26"/>
    </w:rPr>
  </w:style>
  <w:style w:type="paragraph" w:styleId="Heading3">
    <w:name w:val="Heading 3"/>
    <w:basedOn w:val="Normal"/>
    <w:next w:val="Normal"/>
    <w:qFormat/>
    <w:pPr>
      <w:spacing w:before="14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2026-03-30T13:53:31.454Z</dcterms:created>
  <dcterms:modified xsi:type="dcterms:W3CDTF">2026-03-30T13:53:31.454Z</dcterms:modified>
</cp:coreProperties>
</file>

<file path=docProps/custom.xml><?xml version="1.0" encoding="utf-8"?>
<Properties xmlns="http://schemas.openxmlformats.org/officeDocument/2006/custom-properties" xmlns:vt="http://schemas.openxmlformats.org/officeDocument/2006/docPropsVTypes"/>
</file>