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before="0" w:after="0"/>
        <w:ind w:left="220" w:right="220"/>
      </w:pPr>
      <w:r>
        <w:rPr>
          <w:rFonts w:ascii="Arial" w:cs="Arial" w:eastAsia="Arial" w:hAnsi="Arial"/>
          <w:b/>
          <w:bCs/>
          <w:color w:val="FFFFFF"/>
          <w:sz w:val="48"/>
          <w:szCs w:val="48"/>
        </w:rPr>
        <w:t xml:space="preserve">CHANGE MANAGEMENT POLICY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Title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Change Management Policy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ID</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POL-SEC-012</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Version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Classification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Internal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Document Owner</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[Information Security Officer / IT Manager]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Approved By</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[CEO / Executive Management]</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Effective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Review Date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2"/>
                <w:szCs w:val="22"/>
              </w:rPr>
              <w:t xml:space="preserve">Status</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Active</w:t>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00"/>
              <w:left w:type="dxa" w:w="150"/>
              <w:bottom w:type="dxa" w:w="100"/>
              <w:right w:type="dxa" w:w="150"/>
            </w:tcMar>
          </w:tcPr>
          <w:p>
            <w:r>
              <w:rPr>
                <w:rFonts w:ascii="Arial" w:cs="Arial" w:eastAsia="Arial" w:hAnsi="Arial"/>
                <w:b/>
                <w:bCs/>
                <w:color w:val="1F3864"/>
                <w:sz w:val="22"/>
                <w:szCs w:val="22"/>
              </w:rPr>
              <w:t xml:space="preserve">ISO/IEC 27001:2022 — Annex A Controls Referenced</w:t>
            </w:r>
          </w:p>
          <w:p>
            <w:r>
              <w:rPr>
                <w:rFonts w:ascii="Arial" w:cs="Arial" w:eastAsia="Arial" w:hAnsi="Arial"/>
                <w:sz w:val="22"/>
                <w:szCs w:val="22"/>
              </w:rPr>
              <w:t xml:space="preserve">A.8.32 — Change management</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  Overview</w:t>
      </w:r>
    </w:p>
    <w:p>
      <w:pPr>
        <w:spacing w:before="80" w:after="80"/>
      </w:pPr>
      <w:r>
        <w:rPr>
          <w:rFonts w:ascii="Arial" w:cs="Arial" w:eastAsia="Arial" w:hAnsi="Arial"/>
          <w:sz w:val="22"/>
          <w:szCs w:val="22"/>
        </w:rPr>
        <w:t xml:space="preserve">Uncontrolled changes to information systems and infrastructure are a leading cause of security incidents, service outages, and compliance failures. A structured change management process ensures that all changes are assessed, approved, tested, and implemented in a controlled manner that protects the organisation's systems and clients.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2.  Purpose</w:t>
      </w:r>
    </w:p>
    <w:p>
      <w:pPr>
        <w:spacing w:before="80" w:after="80"/>
      </w:pPr>
      <w:r>
        <w:rPr>
          <w:rFonts w:ascii="Arial" w:cs="Arial" w:eastAsia="Arial" w:hAnsi="Arial"/>
          <w:sz w:val="22"/>
          <w:szCs w:val="22"/>
        </w:rPr>
        <w:t xml:space="preserve">This policy defines the requirements for managing changes to the organisation's information systems, infrastructure, and services in a controlled, consistent, and auditable manner.</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3.  Scope</w:t>
      </w:r>
    </w:p>
    <w:p>
      <w:pPr>
        <w:spacing w:before="80" w:after="80"/>
      </w:pPr>
      <w:r>
        <w:rPr>
          <w:rFonts w:ascii="Arial" w:cs="Arial" w:eastAsia="Arial" w:hAnsi="Arial"/>
          <w:sz w:val="22"/>
          <w:szCs w:val="22"/>
        </w:rPr>
        <w:t xml:space="preserve">This policy applies to all changes to production systems, networks, applications, and services operated by or on behalf of the organisation, including changes to client-managed environments where the organisation holds responsibility.</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4.  Terms and Definitions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Term</w:t>
            </w:r>
          </w:p>
        </w:tc>
        <w:tc>
          <w:tcPr>
            <w:tcW w:type="dxa" w:w="62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Change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Any addition, modification, or removal of anything that could affect IT systems, infrastructure, services, or processes.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Standard Change</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 pre-approved, low-risk change that follows a documented and repeatable process with known outcomes.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Normal Change</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change that requires assessment, approval, and scheduling before implementation.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Emergency Change</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A change that must be implemented immediately to resolve a critical incident or prevent imminent harm.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Request for Change (RFC)</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The formal record of a proposed change, including justification, risk assessment, implementation plan, and rollback procedure.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Change Advisory Board (CAB)</w:t>
            </w:r>
          </w:p>
        </w:tc>
        <w:tc>
          <w:tcPr>
            <w:tcW w:type="dxa" w:w="62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The group responsible for reviewing and approving Normal changes.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Rollback Plan</w:t>
            </w:r>
          </w:p>
        </w:tc>
        <w:tc>
          <w:tcPr>
            <w:tcW w:type="dxa" w:w="62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 documented procedure for restoring a system to its previous state if a change fails or causes unintended consequences.</w:t>
            </w:r>
          </w:p>
        </w:tc>
      </w:tr>
    </w:tbl>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5.  Policy</w:t>
      </w:r>
    </w:p>
    <w:p>
      <w:pPr>
        <w:pStyle w:val="Heading2"/>
        <w:spacing w:before="180" w:after="80"/>
      </w:pPr>
      <w:r>
        <w:rPr>
          <w:rFonts w:ascii="Arial" w:cs="Arial" w:eastAsia="Arial" w:hAnsi="Arial"/>
          <w:b/>
          <w:bCs/>
          <w:color w:val="2E5496"/>
          <w:sz w:val="26"/>
          <w:szCs w:val="26"/>
        </w:rPr>
        <w:t xml:space="preserve">5.1  Change Classification</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526"/>
        <w:gridCol w:w="2000"/>
        <w:gridCol w:w="2000"/>
      </w:tblGrid>
      <w:tr>
        <w:tc>
          <w:tcPr>
            <w:tcW w:type="dxa" w:w="15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Type</w:t>
            </w:r>
          </w:p>
        </w:tc>
        <w:tc>
          <w:tcPr>
            <w:tcW w:type="dxa" w:w="35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Approval Required</w:t>
            </w:r>
          </w:p>
        </w:tc>
        <w:tc>
          <w:tcPr>
            <w:tcW w:type="dxa" w:w="20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Lead Time</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Standard</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Pre-approved, routine, low-risk, well-understood process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Pre-approved by CAB</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As per standard procedure</w:t>
            </w:r>
          </w:p>
        </w:tc>
      </w:tr>
      <w:tr>
        <w:tc>
          <w:tcPr>
            <w:tcW w:type="dxa" w:w="15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Normal</w:t>
            </w:r>
          </w:p>
        </w:tc>
        <w:tc>
          <w:tcPr>
            <w:tcW w:type="dxa" w:w="3526"/>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Non-urgent, requires individual assessment and approval</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CAB or delegate</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sz w:val="22"/>
                <w:szCs w:val="22"/>
              </w:rPr>
              <w:t xml:space="preserve">Minimum 5 business days</w:t>
            </w:r>
          </w:p>
        </w:tc>
      </w:tr>
      <w:tr>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Emergency</w:t>
            </w:r>
          </w:p>
        </w:tc>
        <w:tc>
          <w:tcPr>
            <w:tcW w:type="dxa" w:w="35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Urgent fix to critical issue or imminent threat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Manager + ISP approval; CAB retrospective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As soon as practicable</w:t>
            </w:r>
          </w:p>
        </w:tc>
      </w:tr>
    </w:tbl>
    <w:p>
      <w:pPr>
        <w:spacing w:before="60" w:after="60"/>
      </w:pPr>
      <w:r>
        <w:t xml:space="preserve"/>
      </w:r>
    </w:p>
    <w:p>
      <w:pPr>
        <w:pStyle w:val="Heading2"/>
        <w:spacing w:before="180" w:after="80"/>
      </w:pPr>
      <w:r>
        <w:rPr>
          <w:rFonts w:ascii="Arial" w:cs="Arial" w:eastAsia="Arial" w:hAnsi="Arial"/>
          <w:b/>
          <w:bCs/>
          <w:color w:val="2E5496"/>
          <w:sz w:val="26"/>
          <w:szCs w:val="26"/>
        </w:rPr>
        <w:t xml:space="preserve">5.2  Request for Change (RFC) Requirements</w:t>
      </w:r>
    </w:p>
    <w:p>
      <w:pPr>
        <w:spacing w:before="80" w:after="80"/>
      </w:pPr>
      <w:r>
        <w:rPr>
          <w:rFonts w:ascii="Arial" w:cs="Arial" w:eastAsia="Arial" w:hAnsi="Arial"/>
          <w:sz w:val="22"/>
          <w:szCs w:val="22"/>
        </w:rPr>
        <w:t xml:space="preserve">All Normal changes must be submitted as a formal RFC. The RFC must include:</w:t>
      </w:r>
    </w:p>
    <w:p>
      <w:pPr>
        <w:pStyle w:val="ListParagraph"/>
        <w:numPr>
          <w:ilvl w:val="0"/>
          <w:numId w:val="2"/>
        </w:numPr>
        <w:spacing w:before="40" w:after="40"/>
      </w:pPr>
      <w:r>
        <w:rPr>
          <w:rFonts w:ascii="Arial" w:cs="Arial" w:eastAsia="Arial" w:hAnsi="Arial"/>
          <w:sz w:val="22"/>
          <w:szCs w:val="22"/>
        </w:rPr>
        <w:t xml:space="preserve">Description of the proposed change and affected systems</w:t>
      </w:r>
    </w:p>
    <w:p>
      <w:pPr>
        <w:pStyle w:val="ListParagraph"/>
        <w:numPr>
          <w:ilvl w:val="0"/>
          <w:numId w:val="2"/>
        </w:numPr>
        <w:spacing w:before="40" w:after="40"/>
      </w:pPr>
      <w:r>
        <w:rPr>
          <w:rFonts w:ascii="Arial" w:cs="Arial" w:eastAsia="Arial" w:hAnsi="Arial"/>
          <w:sz w:val="22"/>
          <w:szCs w:val="22"/>
        </w:rPr>
        <w:t xml:space="preserve">Business and technical justification</w:t>
      </w:r>
    </w:p>
    <w:p>
      <w:pPr>
        <w:pStyle w:val="ListParagraph"/>
        <w:numPr>
          <w:ilvl w:val="0"/>
          <w:numId w:val="2"/>
        </w:numPr>
        <w:spacing w:before="40" w:after="40"/>
      </w:pPr>
      <w:r>
        <w:rPr>
          <w:rFonts w:ascii="Arial" w:cs="Arial" w:eastAsia="Arial" w:hAnsi="Arial"/>
          <w:sz w:val="22"/>
          <w:szCs w:val="22"/>
        </w:rPr>
        <w:t xml:space="preserve">Risk assessment — potential impact and likelihood of failure</w:t>
      </w:r>
    </w:p>
    <w:p>
      <w:pPr>
        <w:pStyle w:val="ListParagraph"/>
        <w:numPr>
          <w:ilvl w:val="0"/>
          <w:numId w:val="2"/>
        </w:numPr>
        <w:spacing w:before="40" w:after="40"/>
      </w:pPr>
      <w:r>
        <w:rPr>
          <w:rFonts w:ascii="Arial" w:cs="Arial" w:eastAsia="Arial" w:hAnsi="Arial"/>
          <w:sz w:val="22"/>
          <w:szCs w:val="22"/>
        </w:rPr>
        <w:t xml:space="preserve">Security impact assessment</w:t>
      </w:r>
    </w:p>
    <w:p>
      <w:pPr>
        <w:pStyle w:val="ListParagraph"/>
        <w:numPr>
          <w:ilvl w:val="0"/>
          <w:numId w:val="2"/>
        </w:numPr>
        <w:spacing w:before="40" w:after="40"/>
      </w:pPr>
      <w:r>
        <w:rPr>
          <w:rFonts w:ascii="Arial" w:cs="Arial" w:eastAsia="Arial" w:hAnsi="Arial"/>
          <w:sz w:val="22"/>
          <w:szCs w:val="22"/>
        </w:rPr>
        <w:t xml:space="preserve">Testing plan — what will be tested and how success will be verified</w:t>
      </w:r>
    </w:p>
    <w:p>
      <w:pPr>
        <w:pStyle w:val="ListParagraph"/>
        <w:numPr>
          <w:ilvl w:val="0"/>
          <w:numId w:val="2"/>
        </w:numPr>
        <w:spacing w:before="40" w:after="40"/>
      </w:pPr>
      <w:r>
        <w:rPr>
          <w:rFonts w:ascii="Arial" w:cs="Arial" w:eastAsia="Arial" w:hAnsi="Arial"/>
          <w:sz w:val="22"/>
          <w:szCs w:val="22"/>
        </w:rPr>
        <w:t xml:space="preserve">Implementation plan — step-by-step instructions</w:t>
      </w:r>
    </w:p>
    <w:p>
      <w:pPr>
        <w:pStyle w:val="ListParagraph"/>
        <w:numPr>
          <w:ilvl w:val="0"/>
          <w:numId w:val="2"/>
        </w:numPr>
        <w:spacing w:before="40" w:after="40"/>
      </w:pPr>
      <w:r>
        <w:rPr>
          <w:rFonts w:ascii="Arial" w:cs="Arial" w:eastAsia="Arial" w:hAnsi="Arial"/>
          <w:sz w:val="22"/>
          <w:szCs w:val="22"/>
        </w:rPr>
        <w:t xml:space="preserve">Rollback plan — procedure to reverse the change if needed</w:t>
      </w:r>
    </w:p>
    <w:p>
      <w:pPr>
        <w:pStyle w:val="ListParagraph"/>
        <w:numPr>
          <w:ilvl w:val="0"/>
          <w:numId w:val="2"/>
        </w:numPr>
        <w:spacing w:before="40" w:after="40"/>
      </w:pPr>
      <w:r>
        <w:rPr>
          <w:rFonts w:ascii="Arial" w:cs="Arial" w:eastAsia="Arial" w:hAnsi="Arial"/>
          <w:sz w:val="22"/>
          <w:szCs w:val="22"/>
        </w:rPr>
        <w:t xml:space="preserve">Proposed implementation window and change owner</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5.3  Change Advisory Board</w:t>
      </w:r>
    </w:p>
    <w:p>
      <w:pPr>
        <w:spacing w:before="80" w:after="80"/>
      </w:pPr>
      <w:r>
        <w:rPr>
          <w:rFonts w:ascii="Arial" w:cs="Arial" w:eastAsia="Arial" w:hAnsi="Arial"/>
          <w:sz w:val="22"/>
          <w:szCs w:val="22"/>
        </w:rPr>
        <w:t xml:space="preserve">The Change Advisory Board (CAB) is responsible for reviewing and approving Normal changes. The CAB meets at regular intervals (at minimum weekly) and must include representation from IT, security, and operations. The CAB will assess each RFC for risk, feasibility, scheduling conflicts, and alignment with organisational priorities.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5.4  Testing Requirements</w:t>
      </w:r>
    </w:p>
    <w:p>
      <w:pPr>
        <w:spacing w:before="80" w:after="80"/>
      </w:pPr>
      <w:r>
        <w:rPr>
          <w:rFonts w:ascii="Arial" w:cs="Arial" w:eastAsia="Arial" w:hAnsi="Arial"/>
          <w:sz w:val="22"/>
          <w:szCs w:val="22"/>
        </w:rPr>
        <w:t xml:space="preserve">All Normal and Emergency changes must be tested before deployment to production wherever feasible. Testing must:</w:t>
      </w:r>
    </w:p>
    <w:p>
      <w:pPr>
        <w:pStyle w:val="ListParagraph"/>
        <w:numPr>
          <w:ilvl w:val="0"/>
          <w:numId w:val="2"/>
        </w:numPr>
        <w:spacing w:before="40" w:after="40"/>
      </w:pPr>
      <w:r>
        <w:rPr>
          <w:rFonts w:ascii="Arial" w:cs="Arial" w:eastAsia="Arial" w:hAnsi="Arial"/>
          <w:sz w:val="22"/>
          <w:szCs w:val="22"/>
        </w:rPr>
        <w:t xml:space="preserve">Be conducted in a non-production environment that accurately reflects the production configuration.</w:t>
      </w:r>
    </w:p>
    <w:p>
      <w:pPr>
        <w:pStyle w:val="ListParagraph"/>
        <w:numPr>
          <w:ilvl w:val="0"/>
          <w:numId w:val="2"/>
        </w:numPr>
        <w:spacing w:before="40" w:after="40"/>
      </w:pPr>
      <w:r>
        <w:rPr>
          <w:rFonts w:ascii="Arial" w:cs="Arial" w:eastAsia="Arial" w:hAnsi="Arial"/>
          <w:sz w:val="22"/>
          <w:szCs w:val="22"/>
        </w:rPr>
        <w:t xml:space="preserve">Include validation that the change achieves its intended outcome.</w:t>
      </w:r>
    </w:p>
    <w:p>
      <w:pPr>
        <w:pStyle w:val="ListParagraph"/>
        <w:numPr>
          <w:ilvl w:val="0"/>
          <w:numId w:val="2"/>
        </w:numPr>
        <w:spacing w:before="40" w:after="40"/>
      </w:pPr>
      <w:r>
        <w:rPr>
          <w:rFonts w:ascii="Arial" w:cs="Arial" w:eastAsia="Arial" w:hAnsi="Arial"/>
          <w:sz w:val="22"/>
          <w:szCs w:val="22"/>
        </w:rPr>
        <w:t xml:space="preserve">Include testing of the rollback procedure.</w:t>
      </w:r>
    </w:p>
    <w:p>
      <w:pPr>
        <w:pStyle w:val="ListParagraph"/>
        <w:numPr>
          <w:ilvl w:val="0"/>
          <w:numId w:val="2"/>
        </w:numPr>
        <w:spacing w:before="40" w:after="40"/>
      </w:pPr>
      <w:r>
        <w:rPr>
          <w:rFonts w:ascii="Arial" w:cs="Arial" w:eastAsia="Arial" w:hAnsi="Arial"/>
          <w:sz w:val="22"/>
          <w:szCs w:val="22"/>
        </w:rPr>
        <w:t xml:space="preserve">Be documented with results recorded in the RFC.</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5.5  Emergency Changes</w:t>
      </w:r>
    </w:p>
    <w:p>
      <w:pPr>
        <w:spacing w:before="80" w:after="80"/>
      </w:pPr>
      <w:r>
        <w:rPr>
          <w:rFonts w:ascii="Arial" w:cs="Arial" w:eastAsia="Arial" w:hAnsi="Arial"/>
          <w:sz w:val="22"/>
          <w:szCs w:val="22"/>
        </w:rPr>
        <w:t xml:space="preserve">Emergency changes may bypass the standard CAB approval process but must:</w:t>
      </w:r>
    </w:p>
    <w:p>
      <w:pPr>
        <w:pStyle w:val="ListParagraph"/>
        <w:numPr>
          <w:ilvl w:val="0"/>
          <w:numId w:val="2"/>
        </w:numPr>
        <w:spacing w:before="40" w:after="40"/>
      </w:pPr>
      <w:r>
        <w:rPr>
          <w:rFonts w:ascii="Arial" w:cs="Arial" w:eastAsia="Arial" w:hAnsi="Arial"/>
          <w:sz w:val="22"/>
          <w:szCs w:val="22"/>
        </w:rPr>
        <w:t xml:space="preserve">Receive verbal or written approval from both the relevant manager and the Information Security Officer before implementation.</w:t>
      </w:r>
    </w:p>
    <w:p>
      <w:pPr>
        <w:pStyle w:val="ListParagraph"/>
        <w:numPr>
          <w:ilvl w:val="0"/>
          <w:numId w:val="2"/>
        </w:numPr>
        <w:spacing w:before="40" w:after="40"/>
      </w:pPr>
      <w:r>
        <w:rPr>
          <w:rFonts w:ascii="Arial" w:cs="Arial" w:eastAsia="Arial" w:hAnsi="Arial"/>
          <w:sz w:val="22"/>
          <w:szCs w:val="22"/>
        </w:rPr>
        <w:t xml:space="preserve">Be documented in a full RFC retrospectively within 24 hours of implementation.</w:t>
      </w:r>
    </w:p>
    <w:p>
      <w:pPr>
        <w:pStyle w:val="ListParagraph"/>
        <w:numPr>
          <w:ilvl w:val="0"/>
          <w:numId w:val="2"/>
        </w:numPr>
        <w:spacing w:before="40" w:after="40"/>
      </w:pPr>
      <w:r>
        <w:rPr>
          <w:rFonts w:ascii="Arial" w:cs="Arial" w:eastAsia="Arial" w:hAnsi="Arial"/>
          <w:sz w:val="22"/>
          <w:szCs w:val="22"/>
        </w:rPr>
        <w:t xml:space="preserve">Be reviewed by the CAB at the next available meeting.</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5.6  Post-Implementation Review</w:t>
      </w:r>
    </w:p>
    <w:p>
      <w:pPr>
        <w:spacing w:before="80" w:after="80"/>
      </w:pPr>
      <w:r>
        <w:rPr>
          <w:rFonts w:ascii="Arial" w:cs="Arial" w:eastAsia="Arial" w:hAnsi="Arial"/>
          <w:sz w:val="22"/>
          <w:szCs w:val="22"/>
        </w:rPr>
        <w:t xml:space="preserve">All significant Normal changes and all Emergency changes must be subject to a post-implementation review. This review must confirm the change achieved its intended outcome, assess any unintended consequences, and capture lessons learned to improve future change processes.</w:t>
      </w:r>
    </w:p>
    <w:p>
      <w:pPr>
        <w:spacing w:before="60" w:after="60"/>
      </w:pPr>
      <w:r>
        <w:t xml:space="preserve"/>
      </w:r>
    </w:p>
    <w:p>
      <w:pPr>
        <w:pStyle w:val="Heading2"/>
        <w:spacing w:before="180" w:after="80"/>
      </w:pPr>
      <w:r>
        <w:rPr>
          <w:rFonts w:ascii="Arial" w:cs="Arial" w:eastAsia="Arial" w:hAnsi="Arial"/>
          <w:b/>
          <w:bCs/>
          <w:color w:val="2E5496"/>
          <w:sz w:val="26"/>
          <w:szCs w:val="26"/>
        </w:rPr>
        <w:t xml:space="preserve">5.7  Client Environment Changes</w:t>
      </w:r>
    </w:p>
    <w:p>
      <w:pPr>
        <w:spacing w:before="80" w:after="80"/>
      </w:pPr>
      <w:r>
        <w:rPr>
          <w:rFonts w:ascii="Arial" w:cs="Arial" w:eastAsia="Arial" w:hAnsi="Arial"/>
          <w:sz w:val="22"/>
          <w:szCs w:val="22"/>
        </w:rPr>
        <w:t xml:space="preserve">Changes to client-managed environments must adhere to both this policy and any change management requirements specified in the relevant client service agreement. Client approval must be obtained for any change to a client environment unless the client has granted standing authorisation for specific change types. All client environment changes must be logged and communicated to the client in accordance with the service agreement.</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7.  Compliance and Enforcement</w:t>
      </w:r>
    </w:p>
    <w:p>
      <w:pPr>
        <w:spacing w:before="80" w:after="80"/>
      </w:pPr>
      <w:r>
        <w:rPr>
          <w:rFonts w:ascii="Arial" w:cs="Arial" w:eastAsia="Arial" w:hAnsi="Arial"/>
          <w:sz w:val="22"/>
          <w:szCs w:val="22"/>
        </w:rPr>
        <w:t xml:space="preserve">Compliance with this policy is mandatory for all personnel within its scope. The organisation will conduct periodic reviews and audits to assess adherence.</w:t>
      </w:r>
    </w:p>
    <w:p>
      <w:pPr>
        <w:spacing w:before="80" w:after="80"/>
      </w:pPr>
      <w:r>
        <w:rPr>
          <w:rFonts w:ascii="Arial" w:cs="Arial" w:eastAsia="Arial" w:hAnsi="Arial"/>
          <w:sz w:val="22"/>
          <w:szCs w:val="22"/>
        </w:rPr>
        <w:t xml:space="preserve">Where an individual fails to comply with, or deliberately circumvents, the requirements of this policy, disciplinary action will be initiated in accordance with the Disciplinary Procedure. Depending on the severity of the breach, this may also result in referral to relevant law enforcement bodies.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8.  Related Documents</w:t>
      </w:r>
    </w:p>
    <w:p>
      <w:pPr>
        <w:pStyle w:val="ListParagraph"/>
        <w:numPr>
          <w:ilvl w:val="0"/>
          <w:numId w:val="2"/>
        </w:numPr>
        <w:spacing w:before="40" w:after="40"/>
      </w:pPr>
      <w:r>
        <w:rPr>
          <w:rFonts w:ascii="Arial" w:cs="Arial" w:eastAsia="Arial" w:hAnsi="Arial"/>
          <w:sz w:val="22"/>
          <w:szCs w:val="22"/>
        </w:rPr>
        <w:t xml:space="preserve">Secure Infrastructure as Code Policy (POL-SEC-004)</w:t>
      </w:r>
    </w:p>
    <w:p>
      <w:pPr>
        <w:pStyle w:val="ListParagraph"/>
        <w:numPr>
          <w:ilvl w:val="0"/>
          <w:numId w:val="2"/>
        </w:numPr>
        <w:spacing w:before="40" w:after="40"/>
      </w:pPr>
      <w:r>
        <w:rPr>
          <w:rFonts w:ascii="Arial" w:cs="Arial" w:eastAsia="Arial" w:hAnsi="Arial"/>
          <w:sz w:val="22"/>
          <w:szCs w:val="22"/>
        </w:rPr>
        <w:t xml:space="preserve">Network Security Policy (POL-SEC-002)</w:t>
      </w:r>
    </w:p>
    <w:p>
      <w:pPr>
        <w:pStyle w:val="ListParagraph"/>
        <w:numPr>
          <w:ilvl w:val="0"/>
          <w:numId w:val="2"/>
        </w:numPr>
        <w:spacing w:before="40" w:after="40"/>
      </w:pPr>
      <w:r>
        <w:rPr>
          <w:rFonts w:ascii="Arial" w:cs="Arial" w:eastAsia="Arial" w:hAnsi="Arial"/>
          <w:sz w:val="22"/>
          <w:szCs w:val="22"/>
        </w:rPr>
        <w:t xml:space="preserve">Secure System Design Standard (POL-SEC-010)</w:t>
      </w:r>
    </w:p>
    <w:p>
      <w:pPr>
        <w:pStyle w:val="ListParagraph"/>
        <w:numPr>
          <w:ilvl w:val="0"/>
          <w:numId w:val="2"/>
        </w:numPr>
        <w:spacing w:before="40" w:after="40"/>
      </w:pPr>
      <w:r>
        <w:rPr>
          <w:rFonts w:ascii="Arial" w:cs="Arial" w:eastAsia="Arial" w:hAnsi="Arial"/>
          <w:sz w:val="22"/>
          <w:szCs w:val="22"/>
        </w:rPr>
        <w:t xml:space="preserve">Security Event and Incident Response Policy (POL-SEC-011)</w:t>
      </w:r>
    </w:p>
    <w:p>
      <w:pPr>
        <w:pStyle w:val="ListParagraph"/>
        <w:numPr>
          <w:ilvl w:val="0"/>
          <w:numId w:val="2"/>
        </w:numPr>
        <w:spacing w:before="40" w:after="40"/>
      </w:pPr>
      <w:r>
        <w:rPr>
          <w:rFonts w:ascii="Arial" w:cs="Arial" w:eastAsia="Arial" w:hAnsi="Arial"/>
          <w:sz w:val="22"/>
          <w:szCs w:val="22"/>
        </w:rPr>
        <w:t xml:space="preserve">Vulnerability Management Policy (POL-SEC-017)</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9.  Policy Review</w:t>
      </w:r>
    </w:p>
    <w:p>
      <w:pPr>
        <w:spacing w:before="80" w:after="80"/>
      </w:pPr>
      <w:r>
        <w:rPr>
          <w:rFonts w:ascii="Arial" w:cs="Arial" w:eastAsia="Arial" w:hAnsi="Arial"/>
          <w:sz w:val="22"/>
          <w:szCs w:val="22"/>
        </w:rPr>
        <w:t xml:space="preserve">This policy shall be reviewed at least annually or following any significant change to the organisation's environment, a security incident, or updates to applicable standards and regulatory requirements. The policy owner is responsible for initiating and managing the review process.</w:t>
      </w:r>
    </w:p>
    <w:p>
      <w:pPr>
        <w:spacing w:before="60" w:after="60"/>
      </w:pPr>
      <w:r>
        <w:t xml:space="preserve"/>
      </w:r>
    </w:p>
    <w:p>
      <w:pPr>
        <w:pStyle w:val="Heading1"/>
        <w:pBdr>
          <w:bottom w:val="single" w:color="2E5496" w:sz="6" w:space="1"/>
        </w:pBdr>
        <w:spacing w:before="280" w:after="140"/>
      </w:pPr>
      <w:r>
        <w:rPr>
          <w:rFonts w:ascii="Arial" w:cs="Arial" w:eastAsia="Arial" w:hAnsi="Arial"/>
          <w:b/>
          <w:bCs/>
          <w:color w:val="1F3864"/>
          <w:sz w:val="32"/>
          <w:szCs w:val="32"/>
        </w:rPr>
        <w:t xml:space="preserve">10.  Document Revision History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4626"/>
        <w:gridCol w:w="1700"/>
      </w:tblGrid>
      <w:tr>
        <w:tc>
          <w:tcPr>
            <w:tcW w:type="dxa" w:w="9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Date</w:t>
            </w:r>
          </w:p>
        </w:tc>
        <w:tc>
          <w:tcPr>
            <w:tcW w:type="dxa" w:w="4626"/>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Description</w:t>
            </w:r>
          </w:p>
        </w:tc>
        <w:tc>
          <w:tcPr>
            <w:tcW w:type="dxa" w:w="1700"/>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Author</w:t>
            </w:r>
          </w:p>
        </w:tc>
      </w:tr>
      <w:tr>
        <w:tc>
          <w:tcPr>
            <w:tcW w:type="dxa" w:w="9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1.0</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[DD/MM/YYYY]</w:t>
            </w:r>
          </w:p>
        </w:tc>
        <w:tc>
          <w:tcPr>
            <w:tcW w:type="dxa" w:w="4626"/>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Initial release</w:t>
            </w:r>
          </w:p>
        </w:tc>
        <w:tc>
          <w:tcPr>
            <w:tcW w:type="dxa" w:w="17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sz w:val="22"/>
                <w:szCs w:val="22"/>
              </w:rPr>
              <w:t xml:space="preserve">[Author Name]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F3864"/>
      <w:sz w:val="32"/>
      <w:szCs w:val="32"/>
    </w:rPr>
  </w:style>
  <w:style w:type="paragraph" w:styleId="Heading2">
    <w:name w:val="Heading 2"/>
    <w:basedOn w:val="Normal"/>
    <w:next w:val="Normal"/>
    <w:qFormat/>
    <w:pPr>
      <w:spacing w:before="180" w:after="80"/>
      <w:outlineLvl w:val="1"/>
    </w:pPr>
    <w:rPr>
      <w:rFonts w:ascii="Arial" w:cs="Arial" w:eastAsia="Arial" w:hAnsi="Arial"/>
      <w:b/>
      <w:bCs/>
      <w:color w:val="2E5496"/>
      <w:sz w:val="26"/>
      <w:szCs w:val="26"/>
    </w:rPr>
  </w:style>
  <w:style w:type="paragraph" w:styleId="Heading3">
    <w:name w:val="Heading 3"/>
    <w:basedOn w:val="Normal"/>
    <w:next w:val="Normal"/>
    <w:qFormat/>
    <w:pPr>
      <w:spacing w:before="14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2026-03-30T14:15:04.386Z</dcterms:created>
  <dcterms:modified xsi:type="dcterms:W3CDTF">2026-03-30T14:15:04.386Z</dcterms:modified>
</cp:coreProperties>
</file>

<file path=docProps/custom.xml><?xml version="1.0" encoding="utf-8"?>
<Properties xmlns="http://schemas.openxmlformats.org/officeDocument/2006/custom-properties" xmlns:vt="http://schemas.openxmlformats.org/officeDocument/2006/docPropsVTypes"/>
</file>