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BUSINESS CONTINUITY AND DISASTER RECOVERY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Business Continuity and Disaster Recovery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POL-SEC-013</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Operations Manager]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[Board / CEO]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A.5.29 — Information security during disruption</w:t>
            </w:r>
          </w:p>
          <w:p>
            <w:r>
              <w:rPr>
                <w:rFonts w:ascii="Arial" w:cs="Arial" w:eastAsia="Arial" w:hAnsi="Arial"/>
                <w:sz w:val="22"/>
                <w:szCs w:val="22"/>
              </w:rPr>
              <w:t xml:space="preserve">A.5.30 — ICT readiness for business continuity</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Disruptions to business operations — whether caused by cyberattacks, natural disasters, infrastructure failure, or other events — can have significant consequences for the organisation and its clients. A well-prepared business continuity and disaster recovery capability enables the organisation to maintain or rapidly restore critical services in the event of a significant disruption.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establishes the organisation's approach to business continuity and IT disaster recovery, including the planning, testing, and maintenance of capabilities to sustain or restore operations following a disruptive event.</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critical business functions, IT systems, and services operated by or on behalf of the organisation, including those delivered to clients.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Business Continuity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capability of the organisation to continue delivering products and services at acceptable predefined levels following a disruptive incident.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Disaster Recovery (DR)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process of restoring IT systems, data, and infrastructure following a disruptive event.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Business Impact Analysis (BIA)</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 analysis that identifies the critical business functions, the impact of their disruption, and the minimum recovery requirements.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Recovery Time Objective (RTO)</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maximum tolerable period in which a system or process may be unavailable following a disruption.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Recovery Point Objective (RPO)</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maximum tolerable period of data loss measured in time prior to a disruptive event.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Crisis Management Team</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group of senior personnel responsible for managing the organisation's response to a significant disruptive event.</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Business Impact Analysis</w:t>
      </w:r>
    </w:p>
    <w:p>
      <w:pPr>
        <w:spacing w:before="80" w:after="80"/>
      </w:pPr>
      <w:r>
        <w:rPr>
          <w:rFonts w:ascii="Arial" w:cs="Arial" w:eastAsia="Arial" w:hAnsi="Arial"/>
          <w:sz w:val="22"/>
          <w:szCs w:val="22"/>
        </w:rPr>
        <w:t xml:space="preserve">The organisation must maintain a current Business Impact Analysis (BIA) identifying all critical business functions, the systems and resources they depend on, the impact of disruption at defined time intervals, and the RTO and RPO for each critical function. The BIA must be reviewed at least annually and following significant changes to the organisation's operations or technology environment.</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Recovery Objectives</w:t>
      </w:r>
    </w:p>
    <w:p>
      <w:pPr>
        <w:spacing w:before="80" w:after="80"/>
      </w:pPr>
      <w:r>
        <w:rPr>
          <w:rFonts w:ascii="Arial" w:cs="Arial" w:eastAsia="Arial" w:hAnsi="Arial"/>
          <w:sz w:val="22"/>
          <w:szCs w:val="22"/>
        </w:rPr>
        <w:t xml:space="preserve">Recovery Time Objectives and Recovery Point Objectives must be defined for all critical systems and services based on the BIA. These objectives must be documented, approved by management, and incorporated into all recovery planning and vendor contractual arrangements.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Business Continuity Plans</w:t>
      </w:r>
    </w:p>
    <w:p>
      <w:pPr>
        <w:spacing w:before="80" w:after="80"/>
      </w:pPr>
      <w:r>
        <w:rPr>
          <w:rFonts w:ascii="Arial" w:cs="Arial" w:eastAsia="Arial" w:hAnsi="Arial"/>
          <w:sz w:val="22"/>
          <w:szCs w:val="22"/>
        </w:rPr>
        <w:t xml:space="preserve">Business continuity plans must be maintained for all critical business functions. Each plan must address:</w:t>
      </w:r>
    </w:p>
    <w:p>
      <w:pPr>
        <w:pStyle w:val="ListParagraph"/>
        <w:numPr>
          <w:ilvl w:val="0"/>
          <w:numId w:val="2"/>
        </w:numPr>
        <w:spacing w:before="40" w:after="40"/>
      </w:pPr>
      <w:r>
        <w:rPr>
          <w:rFonts w:ascii="Arial" w:cs="Arial" w:eastAsia="Arial" w:hAnsi="Arial"/>
          <w:sz w:val="22"/>
          <w:szCs w:val="22"/>
        </w:rPr>
        <w:t xml:space="preserve">Activation criteria — the circumstances under which the plan is activated.</w:t>
      </w:r>
    </w:p>
    <w:p>
      <w:pPr>
        <w:pStyle w:val="ListParagraph"/>
        <w:numPr>
          <w:ilvl w:val="0"/>
          <w:numId w:val="2"/>
        </w:numPr>
        <w:spacing w:before="40" w:after="40"/>
      </w:pPr>
      <w:r>
        <w:rPr>
          <w:rFonts w:ascii="Arial" w:cs="Arial" w:eastAsia="Arial" w:hAnsi="Arial"/>
          <w:sz w:val="22"/>
          <w:szCs w:val="22"/>
        </w:rPr>
        <w:t xml:space="preserve">Crisis Management Team structure, roles, and contact details.</w:t>
      </w:r>
    </w:p>
    <w:p>
      <w:pPr>
        <w:pStyle w:val="ListParagraph"/>
        <w:numPr>
          <w:ilvl w:val="0"/>
          <w:numId w:val="2"/>
        </w:numPr>
        <w:spacing w:before="40" w:after="40"/>
      </w:pPr>
      <w:r>
        <w:rPr>
          <w:rFonts w:ascii="Arial" w:cs="Arial" w:eastAsia="Arial" w:hAnsi="Arial"/>
          <w:sz w:val="22"/>
          <w:szCs w:val="22"/>
        </w:rPr>
        <w:t xml:space="preserve">Communication plan — internal and external communication requirements during a disruption.</w:t>
      </w:r>
    </w:p>
    <w:p>
      <w:pPr>
        <w:pStyle w:val="ListParagraph"/>
        <w:numPr>
          <w:ilvl w:val="0"/>
          <w:numId w:val="2"/>
        </w:numPr>
        <w:spacing w:before="40" w:after="40"/>
      </w:pPr>
      <w:r>
        <w:rPr>
          <w:rFonts w:ascii="Arial" w:cs="Arial" w:eastAsia="Arial" w:hAnsi="Arial"/>
          <w:sz w:val="22"/>
          <w:szCs w:val="22"/>
        </w:rPr>
        <w:t xml:space="preserve">Alternative working arrangements — remote working, alternate facilities, or manual processes.</w:t>
      </w:r>
    </w:p>
    <w:p>
      <w:pPr>
        <w:pStyle w:val="ListParagraph"/>
        <w:numPr>
          <w:ilvl w:val="0"/>
          <w:numId w:val="2"/>
        </w:numPr>
        <w:spacing w:before="40" w:after="40"/>
      </w:pPr>
      <w:r>
        <w:rPr>
          <w:rFonts w:ascii="Arial" w:cs="Arial" w:eastAsia="Arial" w:hAnsi="Arial"/>
          <w:sz w:val="22"/>
          <w:szCs w:val="22"/>
        </w:rPr>
        <w:t xml:space="preserve">Dependencies — identification of critical staff, suppliers, and systems.</w:t>
      </w:r>
    </w:p>
    <w:p>
      <w:pPr>
        <w:pStyle w:val="ListParagraph"/>
        <w:numPr>
          <w:ilvl w:val="0"/>
          <w:numId w:val="2"/>
        </w:numPr>
        <w:spacing w:before="40" w:after="40"/>
      </w:pPr>
      <w:r>
        <w:rPr>
          <w:rFonts w:ascii="Arial" w:cs="Arial" w:eastAsia="Arial" w:hAnsi="Arial"/>
          <w:sz w:val="22"/>
          <w:szCs w:val="22"/>
        </w:rPr>
        <w:t xml:space="preserve">Client communication — how clients will be informed of service disruptions and recovery progress.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IT Disaster Recovery</w:t>
      </w:r>
    </w:p>
    <w:p>
      <w:pPr>
        <w:spacing w:before="80" w:after="80"/>
      </w:pPr>
      <w:r>
        <w:rPr>
          <w:rFonts w:ascii="Arial" w:cs="Arial" w:eastAsia="Arial" w:hAnsi="Arial"/>
          <w:sz w:val="22"/>
          <w:szCs w:val="22"/>
        </w:rPr>
        <w:t xml:space="preserve">IT disaster recovery plans must be maintained for all critical systems and services. Plans must include:</w:t>
      </w:r>
    </w:p>
    <w:p>
      <w:pPr>
        <w:pStyle w:val="ListParagraph"/>
        <w:numPr>
          <w:ilvl w:val="0"/>
          <w:numId w:val="2"/>
        </w:numPr>
        <w:spacing w:before="40" w:after="40"/>
      </w:pPr>
      <w:r>
        <w:rPr>
          <w:rFonts w:ascii="Arial" w:cs="Arial" w:eastAsia="Arial" w:hAnsi="Arial"/>
          <w:sz w:val="22"/>
          <w:szCs w:val="22"/>
        </w:rPr>
        <w:t xml:space="preserve">System recovery procedures with step-by-step instructions.</w:t>
      </w:r>
    </w:p>
    <w:p>
      <w:pPr>
        <w:pStyle w:val="ListParagraph"/>
        <w:numPr>
          <w:ilvl w:val="0"/>
          <w:numId w:val="2"/>
        </w:numPr>
        <w:spacing w:before="40" w:after="40"/>
      </w:pPr>
      <w:r>
        <w:rPr>
          <w:rFonts w:ascii="Arial" w:cs="Arial" w:eastAsia="Arial" w:hAnsi="Arial"/>
          <w:sz w:val="22"/>
          <w:szCs w:val="22"/>
        </w:rPr>
        <w:t xml:space="preserve">Backup and restoration procedures, including backup frequency and storage locations.</w:t>
      </w:r>
    </w:p>
    <w:p>
      <w:pPr>
        <w:pStyle w:val="ListParagraph"/>
        <w:numPr>
          <w:ilvl w:val="0"/>
          <w:numId w:val="2"/>
        </w:numPr>
        <w:spacing w:before="40" w:after="40"/>
      </w:pPr>
      <w:r>
        <w:rPr>
          <w:rFonts w:ascii="Arial" w:cs="Arial" w:eastAsia="Arial" w:hAnsi="Arial"/>
          <w:sz w:val="22"/>
          <w:szCs w:val="22"/>
        </w:rPr>
        <w:t xml:space="preserve">Recovery infrastructure requirements — hardware, software, network, and access credentials needed for recovery.</w:t>
      </w:r>
    </w:p>
    <w:p>
      <w:pPr>
        <w:pStyle w:val="ListParagraph"/>
        <w:numPr>
          <w:ilvl w:val="0"/>
          <w:numId w:val="2"/>
        </w:numPr>
        <w:spacing w:before="40" w:after="40"/>
      </w:pPr>
      <w:r>
        <w:rPr>
          <w:rFonts w:ascii="Arial" w:cs="Arial" w:eastAsia="Arial" w:hAnsi="Arial"/>
          <w:sz w:val="22"/>
          <w:szCs w:val="22"/>
        </w:rPr>
        <w:t xml:space="preserve">Data integrity verification procedures — confirming data is complete and uncorrupted following restoration.</w:t>
      </w:r>
    </w:p>
    <w:p>
      <w:pPr>
        <w:pStyle w:val="ListParagraph"/>
        <w:numPr>
          <w:ilvl w:val="0"/>
          <w:numId w:val="2"/>
        </w:numPr>
        <w:spacing w:before="40" w:after="40"/>
      </w:pPr>
      <w:r>
        <w:rPr>
          <w:rFonts w:ascii="Arial" w:cs="Arial" w:eastAsia="Arial" w:hAnsi="Arial"/>
          <w:sz w:val="22"/>
          <w:szCs w:val="22"/>
        </w:rPr>
        <w:t xml:space="preserve">Escalation contacts including vendors and third-party support arrangements.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Backup Management</w:t>
      </w:r>
    </w:p>
    <w:p>
      <w:pPr>
        <w:spacing w:before="80" w:after="80"/>
      </w:pPr>
      <w:r>
        <w:rPr>
          <w:rFonts w:ascii="Arial" w:cs="Arial" w:eastAsia="Arial" w:hAnsi="Arial"/>
          <w:sz w:val="22"/>
          <w:szCs w:val="22"/>
        </w:rPr>
        <w:t xml:space="preserve">Data backups must be performed at intervals consistent with the RPO for each system. Backups must:</w:t>
      </w:r>
    </w:p>
    <w:p>
      <w:pPr>
        <w:pStyle w:val="ListParagraph"/>
        <w:numPr>
          <w:ilvl w:val="0"/>
          <w:numId w:val="2"/>
        </w:numPr>
        <w:spacing w:before="40" w:after="40"/>
      </w:pPr>
      <w:r>
        <w:rPr>
          <w:rFonts w:ascii="Arial" w:cs="Arial" w:eastAsia="Arial" w:hAnsi="Arial"/>
          <w:sz w:val="22"/>
          <w:szCs w:val="22"/>
        </w:rPr>
        <w:t xml:space="preserve">Be stored in a geographically separate location from the primary system.</w:t>
      </w:r>
    </w:p>
    <w:p>
      <w:pPr>
        <w:pStyle w:val="ListParagraph"/>
        <w:numPr>
          <w:ilvl w:val="0"/>
          <w:numId w:val="2"/>
        </w:numPr>
        <w:spacing w:before="40" w:after="40"/>
      </w:pPr>
      <w:r>
        <w:rPr>
          <w:rFonts w:ascii="Arial" w:cs="Arial" w:eastAsia="Arial" w:hAnsi="Arial"/>
          <w:sz w:val="22"/>
          <w:szCs w:val="22"/>
        </w:rPr>
        <w:t xml:space="preserve">Be encrypted in accordance with the Cryptographic Control Policy.</w:t>
      </w:r>
    </w:p>
    <w:p>
      <w:pPr>
        <w:pStyle w:val="ListParagraph"/>
        <w:numPr>
          <w:ilvl w:val="0"/>
          <w:numId w:val="2"/>
        </w:numPr>
        <w:spacing w:before="40" w:after="40"/>
      </w:pPr>
      <w:r>
        <w:rPr>
          <w:rFonts w:ascii="Arial" w:cs="Arial" w:eastAsia="Arial" w:hAnsi="Arial"/>
          <w:sz w:val="22"/>
          <w:szCs w:val="22"/>
        </w:rPr>
        <w:t xml:space="preserve">Be regularly tested to confirm they can be successfully restored.</w:t>
      </w:r>
    </w:p>
    <w:p>
      <w:pPr>
        <w:pStyle w:val="ListParagraph"/>
        <w:numPr>
          <w:ilvl w:val="0"/>
          <w:numId w:val="2"/>
        </w:numPr>
        <w:spacing w:before="40" w:after="40"/>
      </w:pPr>
      <w:r>
        <w:rPr>
          <w:rFonts w:ascii="Arial" w:cs="Arial" w:eastAsia="Arial" w:hAnsi="Arial"/>
          <w:sz w:val="22"/>
          <w:szCs w:val="22"/>
        </w:rPr>
        <w:t xml:space="preserve">Be access-controlled with restore capability limited to authorised personnel.</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Testing and Exercises</w:t>
      </w:r>
    </w:p>
    <w:p>
      <w:pPr>
        <w:spacing w:before="80" w:after="80"/>
      </w:pPr>
      <w:r>
        <w:rPr>
          <w:rFonts w:ascii="Arial" w:cs="Arial" w:eastAsia="Arial" w:hAnsi="Arial"/>
          <w:sz w:val="22"/>
          <w:szCs w:val="22"/>
        </w:rPr>
        <w:t xml:space="preserve">Business continuity and disaster recovery plans must be tested regularly to confirm they remain effective. Testing requirements:</w:t>
      </w:r>
    </w:p>
    <w:p>
      <w:pPr>
        <w:pStyle w:val="ListParagraph"/>
        <w:numPr>
          <w:ilvl w:val="0"/>
          <w:numId w:val="2"/>
        </w:numPr>
        <w:spacing w:before="40" w:after="40"/>
      </w:pPr>
      <w:r>
        <w:rPr>
          <w:rFonts w:ascii="Arial" w:cs="Arial" w:eastAsia="Arial" w:hAnsi="Arial"/>
          <w:sz w:val="22"/>
          <w:szCs w:val="22"/>
        </w:rPr>
        <w:t xml:space="preserve">Tabletop exercises: conducted at least annually to walk through response procedures with key personnel.</w:t>
      </w:r>
    </w:p>
    <w:p>
      <w:pPr>
        <w:pStyle w:val="ListParagraph"/>
        <w:numPr>
          <w:ilvl w:val="0"/>
          <w:numId w:val="2"/>
        </w:numPr>
        <w:spacing w:before="40" w:after="40"/>
      </w:pPr>
      <w:r>
        <w:rPr>
          <w:rFonts w:ascii="Arial" w:cs="Arial" w:eastAsia="Arial" w:hAnsi="Arial"/>
          <w:sz w:val="22"/>
          <w:szCs w:val="22"/>
        </w:rPr>
        <w:t xml:space="preserve">Technical recovery tests: IT disaster recovery procedures must be tested at least annually, including actual restoration of data from backup.</w:t>
      </w:r>
    </w:p>
    <w:p>
      <w:pPr>
        <w:pStyle w:val="ListParagraph"/>
        <w:numPr>
          <w:ilvl w:val="0"/>
          <w:numId w:val="2"/>
        </w:numPr>
        <w:spacing w:before="40" w:after="40"/>
      </w:pPr>
      <w:r>
        <w:rPr>
          <w:rFonts w:ascii="Arial" w:cs="Arial" w:eastAsia="Arial" w:hAnsi="Arial"/>
          <w:sz w:val="22"/>
          <w:szCs w:val="22"/>
        </w:rPr>
        <w:t xml:space="preserve">Full simulation exercises: a full end-to-end simulation of a major disruption scenario must be conducted at least every two years.</w:t>
      </w:r>
    </w:p>
    <w:p>
      <w:pPr>
        <w:spacing w:before="80" w:after="80"/>
      </w:pPr>
      <w:r>
        <w:rPr>
          <w:rFonts w:ascii="Arial" w:cs="Arial" w:eastAsia="Arial" w:hAnsi="Arial"/>
          <w:sz w:val="22"/>
          <w:szCs w:val="22"/>
        </w:rPr>
        <w:t xml:space="preserve">Test results must be documented, findings acted upon, and plans updated accordingly.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Plan Maintenance</w:t>
      </w:r>
    </w:p>
    <w:p>
      <w:pPr>
        <w:spacing w:before="80" w:after="80"/>
      </w:pPr>
      <w:r>
        <w:rPr>
          <w:rFonts w:ascii="Arial" w:cs="Arial" w:eastAsia="Arial" w:hAnsi="Arial"/>
          <w:sz w:val="22"/>
          <w:szCs w:val="22"/>
        </w:rPr>
        <w:t xml:space="preserve">Business continuity and disaster recovery plans must be reviewed and updated at least annually, following a significant disruptive event, following any material change to the organisation's technology environment, and following the results of testing exercises. The plan owner is responsible for ensuring plans remain accurate and accessible to relevant personnel.</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Information Security Policy (POL-SEC-007)</w:t>
      </w:r>
    </w:p>
    <w:p>
      <w:pPr>
        <w:pStyle w:val="ListParagraph"/>
        <w:numPr>
          <w:ilvl w:val="0"/>
          <w:numId w:val="2"/>
        </w:numPr>
        <w:spacing w:before="40" w:after="40"/>
      </w:pPr>
      <w:r>
        <w:rPr>
          <w:rFonts w:ascii="Arial" w:cs="Arial" w:eastAsia="Arial" w:hAnsi="Arial"/>
          <w:sz w:val="22"/>
          <w:szCs w:val="22"/>
        </w:rPr>
        <w:t xml:space="preserve">Security Event and Incident Response Policy (POL-SEC-011)</w:t>
      </w:r>
    </w:p>
    <w:p>
      <w:pPr>
        <w:pStyle w:val="ListParagraph"/>
        <w:numPr>
          <w:ilvl w:val="0"/>
          <w:numId w:val="2"/>
        </w:numPr>
        <w:spacing w:before="40" w:after="40"/>
      </w:pPr>
      <w:r>
        <w:rPr>
          <w:rFonts w:ascii="Arial" w:cs="Arial" w:eastAsia="Arial" w:hAnsi="Arial"/>
          <w:sz w:val="22"/>
          <w:szCs w:val="22"/>
        </w:rPr>
        <w:t xml:space="preserve">Cryptographic Control Policy (POL-SEC-001)</w:t>
      </w:r>
    </w:p>
    <w:p>
      <w:pPr>
        <w:pStyle w:val="ListParagraph"/>
        <w:numPr>
          <w:ilvl w:val="0"/>
          <w:numId w:val="2"/>
        </w:numPr>
        <w:spacing w:before="40" w:after="40"/>
      </w:pPr>
      <w:r>
        <w:rPr>
          <w:rFonts w:ascii="Arial" w:cs="Arial" w:eastAsia="Arial" w:hAnsi="Arial"/>
          <w:sz w:val="22"/>
          <w:szCs w:val="22"/>
        </w:rPr>
        <w:t xml:space="preserve">Change Management Policy (POL-SEC-012)</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2026-03-30T14:15:04.484Z</dcterms:created>
  <dcterms:modified xsi:type="dcterms:W3CDTF">2026-03-30T14:15:04.484Z</dcterms:modified>
</cp:coreProperties>
</file>

<file path=docProps/custom.xml><?xml version="1.0" encoding="utf-8"?>
<Properties xmlns="http://schemas.openxmlformats.org/officeDocument/2006/custom-properties" xmlns:vt="http://schemas.openxmlformats.org/officeDocument/2006/docPropsVTypes"/>
</file>