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SUPPLIER AND THIRD-PARTY SECURITY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Supplier and Third-Party Security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POL-SEC-014</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A.5.19 — Information security in supplier relationships</w:t>
            </w:r>
          </w:p>
          <w:p>
            <w:r>
              <w:rPr>
                <w:rFonts w:ascii="Arial" w:cs="Arial" w:eastAsia="Arial" w:hAnsi="Arial"/>
                <w:sz w:val="22"/>
                <w:szCs w:val="22"/>
              </w:rPr>
              <w:t xml:space="preserve">A.5.20 — Addressing information security in supplier agreements</w:t>
            </w:r>
          </w:p>
          <w:p>
            <w:r>
              <w:rPr>
                <w:rFonts w:ascii="Arial" w:cs="Arial" w:eastAsia="Arial" w:hAnsi="Arial"/>
                <w:sz w:val="22"/>
                <w:szCs w:val="22"/>
              </w:rPr>
              <w:t xml:space="preserve">A.5.21 — Managing information security in the ICT supply chain</w:t>
            </w:r>
          </w:p>
          <w:p>
            <w:r>
              <w:rPr>
                <w:rFonts w:ascii="Arial" w:cs="Arial" w:eastAsia="Arial" w:hAnsi="Arial"/>
                <w:sz w:val="22"/>
                <w:szCs w:val="22"/>
              </w:rPr>
              <w:t xml:space="preserve">A.5.22 — Monitoring, review and change management of supplier services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organisation relies on a range of third-party suppliers and service providers. These relationships introduce security risks that must be managed proactively, as supplier vulnerabilities can directly affect the organisation's security posture and its obligations to clients. This policy establishes the requirements for managing security risks in supplier and third-party relationships.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requirements for assessing, managing, and monitoring security risks associated with supplier and third-party relationships throughout their lifecycle.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third-party suppliers, service providers, vendors, contractors, and partners who access, process, store, or transmit organisational or client information, or whose products and services are integrated into the organisation's operations.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Supplier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third party that provides goods, services, or software to the organisation.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Supply Chain Risk</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risk that a supplier or their sub-contractors introduce vulnerabilities into the organisation's environment.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Third-Party Risk Assessment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structured evaluation of a supplier's security posture and the risks they introduce.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Data Processing Agreement (DPA)</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contractual agreement that governs how a supplier processes personal data on behalf of the organisation.</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Supplier Risk Assessment</w:t>
      </w:r>
    </w:p>
    <w:p>
      <w:pPr>
        <w:spacing w:before="80" w:after="80"/>
      </w:pPr>
      <w:r>
        <w:rPr>
          <w:rFonts w:ascii="Arial" w:cs="Arial" w:eastAsia="Arial" w:hAnsi="Arial"/>
          <w:sz w:val="22"/>
          <w:szCs w:val="22"/>
        </w:rPr>
        <w:t xml:space="preserve">Before engaging any new supplier that will access organisational or client information, a security risk assessment must be completed. The assessment must evaluate:</w:t>
      </w:r>
    </w:p>
    <w:p>
      <w:pPr>
        <w:pStyle w:val="ListParagraph"/>
        <w:numPr>
          <w:ilvl w:val="0"/>
          <w:numId w:val="2"/>
        </w:numPr>
        <w:spacing w:before="40" w:after="40"/>
      </w:pPr>
      <w:r>
        <w:rPr>
          <w:rFonts w:ascii="Arial" w:cs="Arial" w:eastAsia="Arial" w:hAnsi="Arial"/>
          <w:sz w:val="22"/>
          <w:szCs w:val="22"/>
        </w:rPr>
        <w:t xml:space="preserve">The type and sensitivity of information the supplier will access, process, or store.</w:t>
      </w:r>
    </w:p>
    <w:p>
      <w:pPr>
        <w:pStyle w:val="ListParagraph"/>
        <w:numPr>
          <w:ilvl w:val="0"/>
          <w:numId w:val="2"/>
        </w:numPr>
        <w:spacing w:before="40" w:after="40"/>
      </w:pPr>
      <w:r>
        <w:rPr>
          <w:rFonts w:ascii="Arial" w:cs="Arial" w:eastAsia="Arial" w:hAnsi="Arial"/>
          <w:sz w:val="22"/>
          <w:szCs w:val="22"/>
        </w:rPr>
        <w:t xml:space="preserve">The supplier's security certifications and practices (e.g. ISO 27001, SOC 2).</w:t>
      </w:r>
    </w:p>
    <w:p>
      <w:pPr>
        <w:pStyle w:val="ListParagraph"/>
        <w:numPr>
          <w:ilvl w:val="0"/>
          <w:numId w:val="2"/>
        </w:numPr>
        <w:spacing w:before="40" w:after="40"/>
      </w:pPr>
      <w:r>
        <w:rPr>
          <w:rFonts w:ascii="Arial" w:cs="Arial" w:eastAsia="Arial" w:hAnsi="Arial"/>
          <w:sz w:val="22"/>
          <w:szCs w:val="22"/>
        </w:rPr>
        <w:t xml:space="preserve">The supplier's data breach history and incident response capability.</w:t>
      </w:r>
    </w:p>
    <w:p>
      <w:pPr>
        <w:pStyle w:val="ListParagraph"/>
        <w:numPr>
          <w:ilvl w:val="0"/>
          <w:numId w:val="2"/>
        </w:numPr>
        <w:spacing w:before="40" w:after="40"/>
      </w:pPr>
      <w:r>
        <w:rPr>
          <w:rFonts w:ascii="Arial" w:cs="Arial" w:eastAsia="Arial" w:hAnsi="Arial"/>
          <w:sz w:val="22"/>
          <w:szCs w:val="22"/>
        </w:rPr>
        <w:t xml:space="preserve">Sub-contractor and supply chain dependencies.</w:t>
      </w:r>
    </w:p>
    <w:p>
      <w:pPr>
        <w:pStyle w:val="ListParagraph"/>
        <w:numPr>
          <w:ilvl w:val="0"/>
          <w:numId w:val="2"/>
        </w:numPr>
        <w:spacing w:before="40" w:after="40"/>
      </w:pPr>
      <w:r>
        <w:rPr>
          <w:rFonts w:ascii="Arial" w:cs="Arial" w:eastAsia="Arial" w:hAnsi="Arial"/>
          <w:sz w:val="22"/>
          <w:szCs w:val="22"/>
        </w:rPr>
        <w:t xml:space="preserve">The regulatory and jurisdictional context of the supplier's operations.</w:t>
      </w:r>
    </w:p>
    <w:p>
      <w:pPr>
        <w:spacing w:before="80" w:after="80"/>
      </w:pPr>
      <w:r>
        <w:rPr>
          <w:rFonts w:ascii="Arial" w:cs="Arial" w:eastAsia="Arial" w:hAnsi="Arial"/>
          <w:sz w:val="22"/>
          <w:szCs w:val="22"/>
        </w:rPr>
        <w:t xml:space="preserve">The level of scrutiny applied must be proportionate to the risk posed by the relationship. High-risk suppliers must complete a formal security questionnaire and, where appropriate, provide evidence of independent security certification.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Contractual Security Requirements</w:t>
      </w:r>
    </w:p>
    <w:p>
      <w:pPr>
        <w:spacing w:before="80" w:after="80"/>
      </w:pPr>
      <w:r>
        <w:rPr>
          <w:rFonts w:ascii="Arial" w:cs="Arial" w:eastAsia="Arial" w:hAnsi="Arial"/>
          <w:sz w:val="22"/>
          <w:szCs w:val="22"/>
        </w:rPr>
        <w:t xml:space="preserve">All supplier agreements that involve access to organisational or client information must include contractual security requirements addressing:</w:t>
      </w:r>
    </w:p>
    <w:p>
      <w:pPr>
        <w:pStyle w:val="ListParagraph"/>
        <w:numPr>
          <w:ilvl w:val="0"/>
          <w:numId w:val="2"/>
        </w:numPr>
        <w:spacing w:before="40" w:after="40"/>
      </w:pPr>
      <w:r>
        <w:rPr>
          <w:rFonts w:ascii="Arial" w:cs="Arial" w:eastAsia="Arial" w:hAnsi="Arial"/>
          <w:sz w:val="22"/>
          <w:szCs w:val="22"/>
        </w:rPr>
        <w:t xml:space="preserve">Minimum security standards the supplier must maintain.</w:t>
      </w:r>
    </w:p>
    <w:p>
      <w:pPr>
        <w:pStyle w:val="ListParagraph"/>
        <w:numPr>
          <w:ilvl w:val="0"/>
          <w:numId w:val="2"/>
        </w:numPr>
        <w:spacing w:before="40" w:after="40"/>
      </w:pPr>
      <w:r>
        <w:rPr>
          <w:rFonts w:ascii="Arial" w:cs="Arial" w:eastAsia="Arial" w:hAnsi="Arial"/>
          <w:sz w:val="22"/>
          <w:szCs w:val="22"/>
        </w:rPr>
        <w:t xml:space="preserve">Data handling, storage, and transmission requirements consistent with the Information Classification Policy.</w:t>
      </w:r>
    </w:p>
    <w:p>
      <w:pPr>
        <w:pStyle w:val="ListParagraph"/>
        <w:numPr>
          <w:ilvl w:val="0"/>
          <w:numId w:val="2"/>
        </w:numPr>
        <w:spacing w:before="40" w:after="40"/>
      </w:pPr>
      <w:r>
        <w:rPr>
          <w:rFonts w:ascii="Arial" w:cs="Arial" w:eastAsia="Arial" w:hAnsi="Arial"/>
          <w:sz w:val="22"/>
          <w:szCs w:val="22"/>
        </w:rPr>
        <w:t xml:space="preserve">Incident notification obligations — the supplier must notify the organisation promptly (within 24 hours of discovery) of any security incident affecting organisational or client data.</w:t>
      </w:r>
    </w:p>
    <w:p>
      <w:pPr>
        <w:pStyle w:val="ListParagraph"/>
        <w:numPr>
          <w:ilvl w:val="0"/>
          <w:numId w:val="2"/>
        </w:numPr>
        <w:spacing w:before="40" w:after="40"/>
      </w:pPr>
      <w:r>
        <w:rPr>
          <w:rFonts w:ascii="Arial" w:cs="Arial" w:eastAsia="Arial" w:hAnsi="Arial"/>
          <w:sz w:val="22"/>
          <w:szCs w:val="22"/>
        </w:rPr>
        <w:t xml:space="preserve">Data Processing Agreement (DPA) requirements where personal information is involved.</w:t>
      </w:r>
    </w:p>
    <w:p>
      <w:pPr>
        <w:pStyle w:val="ListParagraph"/>
        <w:numPr>
          <w:ilvl w:val="0"/>
          <w:numId w:val="2"/>
        </w:numPr>
        <w:spacing w:before="40" w:after="40"/>
      </w:pPr>
      <w:r>
        <w:rPr>
          <w:rFonts w:ascii="Arial" w:cs="Arial" w:eastAsia="Arial" w:hAnsi="Arial"/>
          <w:sz w:val="22"/>
          <w:szCs w:val="22"/>
        </w:rPr>
        <w:t xml:space="preserve">Right to audit — the organisation reserves the right to audit supplier security practices.</w:t>
      </w:r>
    </w:p>
    <w:p>
      <w:pPr>
        <w:pStyle w:val="ListParagraph"/>
        <w:numPr>
          <w:ilvl w:val="0"/>
          <w:numId w:val="2"/>
        </w:numPr>
        <w:spacing w:before="40" w:after="40"/>
      </w:pPr>
      <w:r>
        <w:rPr>
          <w:rFonts w:ascii="Arial" w:cs="Arial" w:eastAsia="Arial" w:hAnsi="Arial"/>
          <w:sz w:val="22"/>
          <w:szCs w:val="22"/>
        </w:rPr>
        <w:t xml:space="preserve">Sub-contractor obligations — the supplier must apply equivalent security requirements to their sub-contractors.</w:t>
      </w:r>
    </w:p>
    <w:p>
      <w:pPr>
        <w:pStyle w:val="ListParagraph"/>
        <w:numPr>
          <w:ilvl w:val="0"/>
          <w:numId w:val="2"/>
        </w:numPr>
        <w:spacing w:before="40" w:after="40"/>
      </w:pPr>
      <w:r>
        <w:rPr>
          <w:rFonts w:ascii="Arial" w:cs="Arial" w:eastAsia="Arial" w:hAnsi="Arial"/>
          <w:sz w:val="22"/>
          <w:szCs w:val="22"/>
        </w:rPr>
        <w:t xml:space="preserve">Data return and deletion requirements upon contract termination.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Third-Party Access Management</w:t>
      </w:r>
    </w:p>
    <w:p>
      <w:pPr>
        <w:spacing w:before="80" w:after="80"/>
      </w:pPr>
      <w:r>
        <w:rPr>
          <w:rFonts w:ascii="Arial" w:cs="Arial" w:eastAsia="Arial" w:hAnsi="Arial"/>
          <w:sz w:val="22"/>
          <w:szCs w:val="22"/>
        </w:rPr>
        <w:t xml:space="preserve">Third-party access to organisational systems must be managed in accordance with the Access Control Policy. Additional requirements for third-party access:</w:t>
      </w:r>
    </w:p>
    <w:p>
      <w:pPr>
        <w:pStyle w:val="ListParagraph"/>
        <w:numPr>
          <w:ilvl w:val="0"/>
          <w:numId w:val="2"/>
        </w:numPr>
        <w:spacing w:before="40" w:after="40"/>
      </w:pPr>
      <w:r>
        <w:rPr>
          <w:rFonts w:ascii="Arial" w:cs="Arial" w:eastAsia="Arial" w:hAnsi="Arial"/>
          <w:sz w:val="22"/>
          <w:szCs w:val="22"/>
        </w:rPr>
        <w:t xml:space="preserve">All third-party access must be provisioned through the formal access management process.</w:t>
      </w:r>
    </w:p>
    <w:p>
      <w:pPr>
        <w:pStyle w:val="ListParagraph"/>
        <w:numPr>
          <w:ilvl w:val="0"/>
          <w:numId w:val="2"/>
        </w:numPr>
        <w:spacing w:before="40" w:after="40"/>
      </w:pPr>
      <w:r>
        <w:rPr>
          <w:rFonts w:ascii="Arial" w:cs="Arial" w:eastAsia="Arial" w:hAnsi="Arial"/>
          <w:sz w:val="22"/>
          <w:szCs w:val="22"/>
        </w:rPr>
        <w:t xml:space="preserve">Third-party access must be scoped to the minimum necessary for the engagement.</w:t>
      </w:r>
    </w:p>
    <w:p>
      <w:pPr>
        <w:pStyle w:val="ListParagraph"/>
        <w:numPr>
          <w:ilvl w:val="0"/>
          <w:numId w:val="2"/>
        </w:numPr>
        <w:spacing w:before="40" w:after="40"/>
      </w:pPr>
      <w:r>
        <w:rPr>
          <w:rFonts w:ascii="Arial" w:cs="Arial" w:eastAsia="Arial" w:hAnsi="Arial"/>
          <w:sz w:val="22"/>
          <w:szCs w:val="22"/>
        </w:rPr>
        <w:t xml:space="preserve">Third-party access must be time-limited and revoked immediately upon contract termination.</w:t>
      </w:r>
    </w:p>
    <w:p>
      <w:pPr>
        <w:pStyle w:val="ListParagraph"/>
        <w:numPr>
          <w:ilvl w:val="0"/>
          <w:numId w:val="2"/>
        </w:numPr>
        <w:spacing w:before="40" w:after="40"/>
      </w:pPr>
      <w:r>
        <w:rPr>
          <w:rFonts w:ascii="Arial" w:cs="Arial" w:eastAsia="Arial" w:hAnsi="Arial"/>
          <w:sz w:val="22"/>
          <w:szCs w:val="22"/>
        </w:rPr>
        <w:t xml:space="preserve">Third-party access must require MFA.</w:t>
      </w:r>
    </w:p>
    <w:p>
      <w:pPr>
        <w:pStyle w:val="ListParagraph"/>
        <w:numPr>
          <w:ilvl w:val="0"/>
          <w:numId w:val="2"/>
        </w:numPr>
        <w:spacing w:before="40" w:after="40"/>
      </w:pPr>
      <w:r>
        <w:rPr>
          <w:rFonts w:ascii="Arial" w:cs="Arial" w:eastAsia="Arial" w:hAnsi="Arial"/>
          <w:sz w:val="22"/>
          <w:szCs w:val="22"/>
        </w:rPr>
        <w:t xml:space="preserve">Third-party activity must be logged and monitored.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Ongoing Monitoring</w:t>
      </w:r>
    </w:p>
    <w:p>
      <w:pPr>
        <w:spacing w:before="80" w:after="80"/>
      </w:pPr>
      <w:r>
        <w:rPr>
          <w:rFonts w:ascii="Arial" w:cs="Arial" w:eastAsia="Arial" w:hAnsi="Arial"/>
          <w:sz w:val="22"/>
          <w:szCs w:val="22"/>
        </w:rPr>
        <w:t xml:space="preserve">Supplier security must be monitored on an ongoing basis throughout the relationship. Monitoring must include:</w:t>
      </w:r>
    </w:p>
    <w:p>
      <w:pPr>
        <w:pStyle w:val="ListParagraph"/>
        <w:numPr>
          <w:ilvl w:val="0"/>
          <w:numId w:val="2"/>
        </w:numPr>
        <w:spacing w:before="40" w:after="40"/>
      </w:pPr>
      <w:r>
        <w:rPr>
          <w:rFonts w:ascii="Arial" w:cs="Arial" w:eastAsia="Arial" w:hAnsi="Arial"/>
          <w:sz w:val="22"/>
          <w:szCs w:val="22"/>
        </w:rPr>
        <w:t xml:space="preserve">Annual review of supplier security posture and compliance with contractual obligations.</w:t>
      </w:r>
    </w:p>
    <w:p>
      <w:pPr>
        <w:pStyle w:val="ListParagraph"/>
        <w:numPr>
          <w:ilvl w:val="0"/>
          <w:numId w:val="2"/>
        </w:numPr>
        <w:spacing w:before="40" w:after="40"/>
      </w:pPr>
      <w:r>
        <w:rPr>
          <w:rFonts w:ascii="Arial" w:cs="Arial" w:eastAsia="Arial" w:hAnsi="Arial"/>
          <w:sz w:val="22"/>
          <w:szCs w:val="22"/>
        </w:rPr>
        <w:t xml:space="preserve">Review of supplier security certifications to confirm they remain current.</w:t>
      </w:r>
    </w:p>
    <w:p>
      <w:pPr>
        <w:pStyle w:val="ListParagraph"/>
        <w:numPr>
          <w:ilvl w:val="0"/>
          <w:numId w:val="2"/>
        </w:numPr>
        <w:spacing w:before="40" w:after="40"/>
      </w:pPr>
      <w:r>
        <w:rPr>
          <w:rFonts w:ascii="Arial" w:cs="Arial" w:eastAsia="Arial" w:hAnsi="Arial"/>
          <w:sz w:val="22"/>
          <w:szCs w:val="22"/>
        </w:rPr>
        <w:t xml:space="preserve">Monitoring of supplier security incidents and vulnerabilities that may affect the organisation.</w:t>
      </w:r>
    </w:p>
    <w:p>
      <w:pPr>
        <w:pStyle w:val="ListParagraph"/>
        <w:numPr>
          <w:ilvl w:val="0"/>
          <w:numId w:val="2"/>
        </w:numPr>
        <w:spacing w:before="40" w:after="40"/>
      </w:pPr>
      <w:r>
        <w:rPr>
          <w:rFonts w:ascii="Arial" w:cs="Arial" w:eastAsia="Arial" w:hAnsi="Arial"/>
          <w:sz w:val="22"/>
          <w:szCs w:val="22"/>
        </w:rPr>
        <w:t xml:space="preserve">Assessment of any material changes to the supplier's ownership, operations, or technology that may introduce new risks.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Supplier Offboarding</w:t>
      </w:r>
    </w:p>
    <w:p>
      <w:pPr>
        <w:spacing w:before="80" w:after="80"/>
      </w:pPr>
      <w:r>
        <w:rPr>
          <w:rFonts w:ascii="Arial" w:cs="Arial" w:eastAsia="Arial" w:hAnsi="Arial"/>
          <w:sz w:val="22"/>
          <w:szCs w:val="22"/>
        </w:rPr>
        <w:t xml:space="preserve">Upon termination of a supplier relationship, the following steps must be completed:</w:t>
      </w:r>
    </w:p>
    <w:p>
      <w:pPr>
        <w:pStyle w:val="ListParagraph"/>
        <w:numPr>
          <w:ilvl w:val="0"/>
          <w:numId w:val="2"/>
        </w:numPr>
        <w:spacing w:before="40" w:after="40"/>
      </w:pPr>
      <w:r>
        <w:rPr>
          <w:rFonts w:ascii="Arial" w:cs="Arial" w:eastAsia="Arial" w:hAnsi="Arial"/>
          <w:sz w:val="22"/>
          <w:szCs w:val="22"/>
        </w:rPr>
        <w:t xml:space="preserve">All third-party access must be revoked immediately on the termination date.</w:t>
      </w:r>
    </w:p>
    <w:p>
      <w:pPr>
        <w:pStyle w:val="ListParagraph"/>
        <w:numPr>
          <w:ilvl w:val="0"/>
          <w:numId w:val="2"/>
        </w:numPr>
        <w:spacing w:before="40" w:after="40"/>
      </w:pPr>
      <w:r>
        <w:rPr>
          <w:rFonts w:ascii="Arial" w:cs="Arial" w:eastAsia="Arial" w:hAnsi="Arial"/>
          <w:sz w:val="22"/>
          <w:szCs w:val="22"/>
        </w:rPr>
        <w:t xml:space="preserve">All organisational and client data held by the supplier must be returned or securely deleted and evidenced.</w:t>
      </w:r>
    </w:p>
    <w:p>
      <w:pPr>
        <w:pStyle w:val="ListParagraph"/>
        <w:numPr>
          <w:ilvl w:val="0"/>
          <w:numId w:val="2"/>
        </w:numPr>
        <w:spacing w:before="40" w:after="40"/>
      </w:pPr>
      <w:r>
        <w:rPr>
          <w:rFonts w:ascii="Arial" w:cs="Arial" w:eastAsia="Arial" w:hAnsi="Arial"/>
          <w:sz w:val="22"/>
          <w:szCs w:val="22"/>
        </w:rPr>
        <w:t xml:space="preserve">All credentials and access tokens shared with the supplier must be rotated.</w:t>
      </w:r>
    </w:p>
    <w:p>
      <w:pPr>
        <w:pStyle w:val="ListParagraph"/>
        <w:numPr>
          <w:ilvl w:val="0"/>
          <w:numId w:val="2"/>
        </w:numPr>
        <w:spacing w:before="40" w:after="40"/>
      </w:pPr>
      <w:r>
        <w:rPr>
          <w:rFonts w:ascii="Arial" w:cs="Arial" w:eastAsia="Arial" w:hAnsi="Arial"/>
          <w:sz w:val="22"/>
          <w:szCs w:val="22"/>
        </w:rPr>
        <w:t xml:space="preserve">The supplier entry in the IT Asset Register must be updated to reflect termination.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Information Classification Policy (POL-SEC-008)</w:t>
      </w:r>
    </w:p>
    <w:p>
      <w:pPr>
        <w:pStyle w:val="ListParagraph"/>
        <w:numPr>
          <w:ilvl w:val="0"/>
          <w:numId w:val="2"/>
        </w:numPr>
        <w:spacing w:before="40" w:after="40"/>
      </w:pPr>
      <w:r>
        <w:rPr>
          <w:rFonts w:ascii="Arial" w:cs="Arial" w:eastAsia="Arial" w:hAnsi="Arial"/>
          <w:sz w:val="22"/>
          <w:szCs w:val="22"/>
        </w:rPr>
        <w:t xml:space="preserve">Privacy Policy (POL-GEN-002)</w:t>
      </w:r>
    </w:p>
    <w:p>
      <w:pPr>
        <w:pStyle w:val="ListParagraph"/>
        <w:numPr>
          <w:ilvl w:val="0"/>
          <w:numId w:val="2"/>
        </w:numPr>
        <w:spacing w:before="40" w:after="40"/>
      </w:pPr>
      <w:r>
        <w:rPr>
          <w:rFonts w:ascii="Arial" w:cs="Arial" w:eastAsia="Arial" w:hAnsi="Arial"/>
          <w:sz w:val="22"/>
          <w:szCs w:val="22"/>
        </w:rPr>
        <w:t xml:space="preserve">Credential Management Policy (POL-SEC-005)</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2026-03-30T14:15:04.511Z</dcterms:created>
  <dcterms:modified xsi:type="dcterms:W3CDTF">2026-03-30T14:15:04.511Z</dcterms:modified>
</cp:coreProperties>
</file>

<file path=docProps/custom.xml><?xml version="1.0" encoding="utf-8"?>
<Properties xmlns="http://schemas.openxmlformats.org/officeDocument/2006/custom-properties" xmlns:vt="http://schemas.openxmlformats.org/officeDocument/2006/docPropsVTypes"/>
</file>