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RISK MANAGEMENT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Risk Management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POL-SEC-015</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 / CEO]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[Board / CEO]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A.5.7 — Threat intelligence</w:t>
            </w:r>
          </w:p>
          <w:p>
            <w:r>
              <w:rPr>
                <w:rFonts w:ascii="Arial" w:cs="Arial" w:eastAsia="Arial" w:hAnsi="Arial"/>
                <w:sz w:val="22"/>
                <w:szCs w:val="22"/>
              </w:rPr>
              <w:t xml:space="preserve">A.6.1 — Screening</w:t>
            </w:r>
          </w:p>
          <w:p>
            <w:r>
              <w:rPr>
                <w:rFonts w:ascii="Arial" w:cs="Arial" w:eastAsia="Arial" w:hAnsi="Arial"/>
                <w:sz w:val="22"/>
                <w:szCs w:val="22"/>
              </w:rPr>
              <w:t xml:space="preserve">A.8.8 — Management of technical vulnerabilities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Effective risk management enables the organisation to identify, understand, and manage the uncertainties that could affect its ability to achieve its objectives. This policy establishes the organisation's approach to information security risk management, providing a consistent framework for assessing and treating risks across the organisation.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risk management framework, methodology, and governance requirements that apply to information security risk across the organisation, in alignment with ISO/IEC 27001:2022 and ISO 31000.</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information assets, systems, processes, and personnel across the organisation, including risks arising from third-party relationships and AI system adoption.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Risk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effect of uncertainty on objectives — the combination of the likelihood of an event and its consequence.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Risk Appetite</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amount and type of risk the organisation is willing to accept in pursuit of its objectives.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Risk Tolerance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acceptable variation around a risk appetite threshold.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Inherent Risk</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level of risk before any controls are applied.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Residual Risk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level of risk remaining after controls have been applied.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Risk Treatment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process of selecting and implementing measures to modify risk — options include Accept, Mitigate, Transfer, or Avoid.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Risk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individual accountable for managing a specific identified risk.</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Risk Appetite</w:t>
      </w:r>
    </w:p>
    <w:p>
      <w:pPr>
        <w:spacing w:before="80" w:after="80"/>
      </w:pPr>
      <w:r>
        <w:rPr>
          <w:rFonts w:ascii="Arial" w:cs="Arial" w:eastAsia="Arial" w:hAnsi="Arial"/>
          <w:sz w:val="22"/>
          <w:szCs w:val="22"/>
        </w:rPr>
        <w:t xml:space="preserve">The organisation maintains a low to moderate risk appetite for information security risks. The organisation is not willing to accept risks that could result in significant data breach, regulatory non-compliance, or material harm to client trust. Risk appetite statements by risk category are documented in the Risk Register and reviewed annually by executive management.</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Risk Assessment Methodology</w:t>
      </w:r>
    </w:p>
    <w:p>
      <w:pPr>
        <w:spacing w:before="80" w:after="80"/>
      </w:pPr>
      <w:r>
        <w:rPr>
          <w:rFonts w:ascii="Arial" w:cs="Arial" w:eastAsia="Arial" w:hAnsi="Arial"/>
          <w:sz w:val="22"/>
          <w:szCs w:val="22"/>
        </w:rPr>
        <w:t xml:space="preserve">Information security risk assessments must be conducted using a consistent methodology. Risks must be evaluated using:</w:t>
      </w:r>
    </w:p>
    <w:p>
      <w:pPr>
        <w:pStyle w:val="ListParagraph"/>
        <w:numPr>
          <w:ilvl w:val="0"/>
          <w:numId w:val="2"/>
        </w:numPr>
        <w:spacing w:before="40" w:after="40"/>
      </w:pPr>
      <w:r>
        <w:rPr>
          <w:rFonts w:ascii="Arial" w:cs="Arial" w:eastAsia="Arial" w:hAnsi="Arial"/>
          <w:sz w:val="22"/>
          <w:szCs w:val="22"/>
        </w:rPr>
        <w:t xml:space="preserve">Likelihood: the probability that the risk event will occur, rated 1 (rare) to 5 (almost certain).</w:t>
      </w:r>
    </w:p>
    <w:p>
      <w:pPr>
        <w:pStyle w:val="ListParagraph"/>
        <w:numPr>
          <w:ilvl w:val="0"/>
          <w:numId w:val="2"/>
        </w:numPr>
        <w:spacing w:before="40" w:after="40"/>
      </w:pPr>
      <w:r>
        <w:rPr>
          <w:rFonts w:ascii="Arial" w:cs="Arial" w:eastAsia="Arial" w:hAnsi="Arial"/>
          <w:sz w:val="22"/>
          <w:szCs w:val="22"/>
        </w:rPr>
        <w:t xml:space="preserve">Impact: the consequence of the risk event occurring, rated 1 (negligible) to 5 (critical).</w:t>
      </w:r>
    </w:p>
    <w:p>
      <w:pPr>
        <w:pStyle w:val="ListParagraph"/>
        <w:numPr>
          <w:ilvl w:val="0"/>
          <w:numId w:val="2"/>
        </w:numPr>
        <w:spacing w:before="40" w:after="40"/>
      </w:pPr>
      <w:r>
        <w:rPr>
          <w:rFonts w:ascii="Arial" w:cs="Arial" w:eastAsia="Arial" w:hAnsi="Arial"/>
          <w:sz w:val="22"/>
          <w:szCs w:val="22"/>
        </w:rPr>
        <w:t xml:space="preserve">Risk Rating: Likelihood x Impact, producing a score of 1-25 that maps to Low (1-6), Medium (7-12), High (13-19), or Critical (20-25).</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When Risk Assessments Are Required</w:t>
      </w:r>
    </w:p>
    <w:p>
      <w:pPr>
        <w:spacing w:before="80" w:after="80"/>
      </w:pPr>
      <w:r>
        <w:rPr>
          <w:rFonts w:ascii="Arial" w:cs="Arial" w:eastAsia="Arial" w:hAnsi="Arial"/>
          <w:sz w:val="22"/>
          <w:szCs w:val="22"/>
        </w:rPr>
        <w:t xml:space="preserve">Risk assessments must be conducted:</w:t>
      </w:r>
    </w:p>
    <w:p>
      <w:pPr>
        <w:pStyle w:val="ListParagraph"/>
        <w:numPr>
          <w:ilvl w:val="0"/>
          <w:numId w:val="2"/>
        </w:numPr>
        <w:spacing w:before="40" w:after="40"/>
      </w:pPr>
      <w:r>
        <w:rPr>
          <w:rFonts w:ascii="Arial" w:cs="Arial" w:eastAsia="Arial" w:hAnsi="Arial"/>
          <w:sz w:val="22"/>
          <w:szCs w:val="22"/>
        </w:rPr>
        <w:t xml:space="preserve">At least annually as part of the ISMS review cycle.</w:t>
      </w:r>
    </w:p>
    <w:p>
      <w:pPr>
        <w:pStyle w:val="ListParagraph"/>
        <w:numPr>
          <w:ilvl w:val="0"/>
          <w:numId w:val="2"/>
        </w:numPr>
        <w:spacing w:before="40" w:after="40"/>
      </w:pPr>
      <w:r>
        <w:rPr>
          <w:rFonts w:ascii="Arial" w:cs="Arial" w:eastAsia="Arial" w:hAnsi="Arial"/>
          <w:sz w:val="22"/>
          <w:szCs w:val="22"/>
        </w:rPr>
        <w:t xml:space="preserve">Before adopting new AI systems (as required by the AI Governance Policy).</w:t>
      </w:r>
    </w:p>
    <w:p>
      <w:pPr>
        <w:pStyle w:val="ListParagraph"/>
        <w:numPr>
          <w:ilvl w:val="0"/>
          <w:numId w:val="2"/>
        </w:numPr>
        <w:spacing w:before="40" w:after="40"/>
      </w:pPr>
      <w:r>
        <w:rPr>
          <w:rFonts w:ascii="Arial" w:cs="Arial" w:eastAsia="Arial" w:hAnsi="Arial"/>
          <w:sz w:val="22"/>
          <w:szCs w:val="22"/>
        </w:rPr>
        <w:t xml:space="preserve">Before implementing significant changes to systems or infrastructure.</w:t>
      </w:r>
    </w:p>
    <w:p>
      <w:pPr>
        <w:pStyle w:val="ListParagraph"/>
        <w:numPr>
          <w:ilvl w:val="0"/>
          <w:numId w:val="2"/>
        </w:numPr>
        <w:spacing w:before="40" w:after="40"/>
      </w:pPr>
      <w:r>
        <w:rPr>
          <w:rFonts w:ascii="Arial" w:cs="Arial" w:eastAsia="Arial" w:hAnsi="Arial"/>
          <w:sz w:val="22"/>
          <w:szCs w:val="22"/>
        </w:rPr>
        <w:t xml:space="preserve">Before engaging new suppliers with access to sensitive information.</w:t>
      </w:r>
    </w:p>
    <w:p>
      <w:pPr>
        <w:pStyle w:val="ListParagraph"/>
        <w:numPr>
          <w:ilvl w:val="0"/>
          <w:numId w:val="2"/>
        </w:numPr>
        <w:spacing w:before="40" w:after="40"/>
      </w:pPr>
      <w:r>
        <w:rPr>
          <w:rFonts w:ascii="Arial" w:cs="Arial" w:eastAsia="Arial" w:hAnsi="Arial"/>
          <w:sz w:val="22"/>
          <w:szCs w:val="22"/>
        </w:rPr>
        <w:t xml:space="preserve">Following a significant security incident or identified threat intelligence.</w:t>
      </w:r>
    </w:p>
    <w:p>
      <w:pPr>
        <w:pStyle w:val="ListParagraph"/>
        <w:numPr>
          <w:ilvl w:val="0"/>
          <w:numId w:val="2"/>
        </w:numPr>
        <w:spacing w:before="40" w:after="40"/>
      </w:pPr>
      <w:r>
        <w:rPr>
          <w:rFonts w:ascii="Arial" w:cs="Arial" w:eastAsia="Arial" w:hAnsi="Arial"/>
          <w:sz w:val="22"/>
          <w:szCs w:val="22"/>
        </w:rPr>
        <w:t xml:space="preserve">When significant changes occur to the regulatory or threat landscape.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Risk Treatment</w:t>
      </w:r>
    </w:p>
    <w:p>
      <w:pPr>
        <w:spacing w:before="80" w:after="80"/>
      </w:pPr>
      <w:r>
        <w:rPr>
          <w:rFonts w:ascii="Arial" w:cs="Arial" w:eastAsia="Arial" w:hAnsi="Arial"/>
          <w:sz w:val="22"/>
          <w:szCs w:val="22"/>
        </w:rPr>
        <w:t xml:space="preserve">Each identified risk must be assigned a treatment approach:</w:t>
      </w:r>
    </w:p>
    <w:p>
      <w:pPr>
        <w:pStyle w:val="ListParagraph"/>
        <w:numPr>
          <w:ilvl w:val="0"/>
          <w:numId w:val="2"/>
        </w:numPr>
        <w:spacing w:before="40" w:after="40"/>
      </w:pPr>
      <w:r>
        <w:rPr>
          <w:rFonts w:ascii="Arial" w:cs="Arial" w:eastAsia="Arial" w:hAnsi="Arial"/>
          <w:sz w:val="22"/>
          <w:szCs w:val="22"/>
        </w:rPr>
        <w:t xml:space="preserve">Mitigate: implement controls to reduce likelihood or impact to an acceptable level.</w:t>
      </w:r>
    </w:p>
    <w:p>
      <w:pPr>
        <w:pStyle w:val="ListParagraph"/>
        <w:numPr>
          <w:ilvl w:val="0"/>
          <w:numId w:val="2"/>
        </w:numPr>
        <w:spacing w:before="40" w:after="40"/>
      </w:pPr>
      <w:r>
        <w:rPr>
          <w:rFonts w:ascii="Arial" w:cs="Arial" w:eastAsia="Arial" w:hAnsi="Arial"/>
          <w:sz w:val="22"/>
          <w:szCs w:val="22"/>
        </w:rPr>
        <w:t xml:space="preserve">Accept: consciously accept the residual risk where it falls within risk appetite and the cost of mitigation is disproportionate.</w:t>
      </w:r>
    </w:p>
    <w:p>
      <w:pPr>
        <w:pStyle w:val="ListParagraph"/>
        <w:numPr>
          <w:ilvl w:val="0"/>
          <w:numId w:val="2"/>
        </w:numPr>
        <w:spacing w:before="40" w:after="40"/>
      </w:pPr>
      <w:r>
        <w:rPr>
          <w:rFonts w:ascii="Arial" w:cs="Arial" w:eastAsia="Arial" w:hAnsi="Arial"/>
          <w:sz w:val="22"/>
          <w:szCs w:val="22"/>
        </w:rPr>
        <w:t xml:space="preserve">Transfer: transfer the risk to a third party through insurance or contractual arrangement.</w:t>
      </w:r>
    </w:p>
    <w:p>
      <w:pPr>
        <w:pStyle w:val="ListParagraph"/>
        <w:numPr>
          <w:ilvl w:val="0"/>
          <w:numId w:val="2"/>
        </w:numPr>
        <w:spacing w:before="40" w:after="40"/>
      </w:pPr>
      <w:r>
        <w:rPr>
          <w:rFonts w:ascii="Arial" w:cs="Arial" w:eastAsia="Arial" w:hAnsi="Arial"/>
          <w:sz w:val="22"/>
          <w:szCs w:val="22"/>
        </w:rPr>
        <w:t xml:space="preserve">Avoid: discontinue the activity that creates the risk.</w:t>
      </w:r>
    </w:p>
    <w:p>
      <w:pPr>
        <w:spacing w:before="80" w:after="80"/>
      </w:pPr>
      <w:r>
        <w:rPr>
          <w:rFonts w:ascii="Arial" w:cs="Arial" w:eastAsia="Arial" w:hAnsi="Arial"/>
          <w:sz w:val="22"/>
          <w:szCs w:val="22"/>
        </w:rPr>
        <w:t xml:space="preserve">All risk treatment decisions must be documented in the Risk Register with associated treatment actions, owners, and target completion dates.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Risk Register</w:t>
      </w:r>
    </w:p>
    <w:p>
      <w:pPr>
        <w:spacing w:before="80" w:after="80"/>
      </w:pPr>
      <w:r>
        <w:rPr>
          <w:rFonts w:ascii="Arial" w:cs="Arial" w:eastAsia="Arial" w:hAnsi="Arial"/>
          <w:sz w:val="22"/>
          <w:szCs w:val="22"/>
        </w:rPr>
        <w:t xml:space="preserve">The organisation maintains a Risk Register as the central repository for all identified information security risks. The Risk Register must be reviewed at least quarterly by the Information Security Officer and at least annually by executive management. Refer to REG-SEC-001 for the Risk Register template.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Risk Reporting</w:t>
      </w:r>
    </w:p>
    <w:p>
      <w:pPr>
        <w:spacing w:before="80" w:after="80"/>
      </w:pPr>
      <w:r>
        <w:rPr>
          <w:rFonts w:ascii="Arial" w:cs="Arial" w:eastAsia="Arial" w:hAnsi="Arial"/>
          <w:sz w:val="22"/>
          <w:szCs w:val="22"/>
        </w:rPr>
        <w:t xml:space="preserve">The Information Security Officer must report on the status of the risk landscape to executive management at least quarterly. Critical and High risks must be escalated immediately upon identification. The risk profile must be considered as an input into all significant strategic and operational decisions.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AI Governance Policy (POL-AI-002)</w:t>
      </w:r>
    </w:p>
    <w:p>
      <w:pPr>
        <w:pStyle w:val="ListParagraph"/>
        <w:numPr>
          <w:ilvl w:val="0"/>
          <w:numId w:val="2"/>
        </w:numPr>
        <w:spacing w:before="40" w:after="40"/>
      </w:pPr>
      <w:r>
        <w:rPr>
          <w:rFonts w:ascii="Arial" w:cs="Arial" w:eastAsia="Arial" w:hAnsi="Arial"/>
          <w:sz w:val="22"/>
          <w:szCs w:val="22"/>
        </w:rPr>
        <w:t xml:space="preserve">Supplier and Third-Party Security Policy (POL-SEC-014)</w:t>
      </w:r>
    </w:p>
    <w:p>
      <w:pPr>
        <w:pStyle w:val="ListParagraph"/>
        <w:numPr>
          <w:ilvl w:val="0"/>
          <w:numId w:val="2"/>
        </w:numPr>
        <w:spacing w:before="40" w:after="40"/>
      </w:pPr>
      <w:r>
        <w:rPr>
          <w:rFonts w:ascii="Arial" w:cs="Arial" w:eastAsia="Arial" w:hAnsi="Arial"/>
          <w:sz w:val="22"/>
          <w:szCs w:val="22"/>
        </w:rPr>
        <w:t xml:space="preserve">Risk Register (REG-SEC-001)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2026-03-30T14:15:04.574Z</dcterms:created>
  <dcterms:modified xsi:type="dcterms:W3CDTF">2026-03-30T14:15:04.574Z</dcterms:modified>
</cp:coreProperties>
</file>

<file path=docProps/custom.xml><?xml version="1.0" encoding="utf-8"?>
<Properties xmlns="http://schemas.openxmlformats.org/officeDocument/2006/custom-properties" xmlns:vt="http://schemas.openxmlformats.org/officeDocument/2006/docPropsVTypes"/>
</file>