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3864" w:val="clear"/>
        <w:spacing w:before="0" w:after="0"/>
        <w:ind w:left="220" w:right="220"/>
      </w:pPr>
      <w:r>
        <w:rPr>
          <w:rFonts w:ascii="Arial" w:cs="Arial" w:eastAsia="Arial" w:hAnsi="Arial"/>
          <w:b/>
          <w:bCs/>
          <w:color w:val="FFFFFF"/>
          <w:sz w:val="48"/>
          <w:szCs w:val="48"/>
        </w:rPr>
        <w:t xml:space="preserve">DATA RETENTION AND DISPOSAL POLICY</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Document Title</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Data Retention and Disposal Policy</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Document ID</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POL-SEC-016</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Version</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1.0</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Classification</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Internal</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Document Owner</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[Information Security Officer / Privacy Officer]</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Approved By</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[CEO / Executive Management]</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Effective Date</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[DD/MM/YYYY]</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Review Date</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[DD/MM/YYYY]</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Status</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Active</w:t>
            </w:r>
          </w:p>
        </w:tc>
      </w:tr>
    </w:tbl>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r>
              <w:rPr>
                <w:rFonts w:ascii="Arial" w:cs="Arial" w:eastAsia="Arial" w:hAnsi="Arial"/>
                <w:b/>
                <w:bCs/>
                <w:color w:val="1F3864"/>
                <w:sz w:val="22"/>
                <w:szCs w:val="22"/>
              </w:rPr>
              <w:t xml:space="preserve">ISO/IEC 27001:2022 — Annex A Controls Referenced</w:t>
            </w:r>
          </w:p>
          <w:p>
            <w:r>
              <w:rPr>
                <w:rFonts w:ascii="Arial" w:cs="Arial" w:eastAsia="Arial" w:hAnsi="Arial"/>
                <w:sz w:val="22"/>
                <w:szCs w:val="22"/>
              </w:rPr>
              <w:t xml:space="preserve">A.8.10 — Information deletion</w:t>
            </w:r>
          </w:p>
          <w:p>
            <w:r>
              <w:rPr>
                <w:rFonts w:ascii="Arial" w:cs="Arial" w:eastAsia="Arial" w:hAnsi="Arial"/>
                <w:sz w:val="22"/>
                <w:szCs w:val="22"/>
              </w:rPr>
              <w:t xml:space="preserve">A.5.34 — Privacy and protection of PII</w:t>
            </w:r>
          </w:p>
        </w:tc>
      </w:tr>
    </w:tbl>
    <w:p>
      <w:pPr>
        <w:spacing w:before="60" w:after="60"/>
      </w:pPr>
      <w:r>
        <w:t xml:space="preserve"/>
      </w:r>
    </w:p>
    <w:p>
      <w:pPr>
        <w:pStyle w:val="Heading1"/>
        <w:pBdr>
          <w:bottom w:val="single" w:color="2E5496" w:sz="6" w:space="1"/>
        </w:pBdr>
        <w:spacing w:before="280" w:after="140"/>
      </w:pPr>
      <w:r>
        <w:rPr>
          <w:rFonts w:ascii="Arial" w:cs="Arial" w:eastAsia="Arial" w:hAnsi="Arial"/>
          <w:b/>
          <w:bCs/>
          <w:color w:val="1F3864"/>
          <w:sz w:val="32"/>
          <w:szCs w:val="32"/>
        </w:rPr>
        <w:t xml:space="preserve">1.  Overview</w:t>
      </w:r>
    </w:p>
    <w:p>
      <w:pPr>
        <w:spacing w:before="80" w:after="80"/>
      </w:pPr>
      <w:r>
        <w:rPr>
          <w:rFonts w:ascii="Arial" w:cs="Arial" w:eastAsia="Arial" w:hAnsi="Arial"/>
          <w:sz w:val="22"/>
          <w:szCs w:val="22"/>
        </w:rPr>
        <w:t xml:space="preserve">Retaining information longer than necessary creates unnecessary risk — increasing the potential impact of a data breach and the complexity of regulatory compliance. Disposing of information without proper controls can also result in data exposure. This policy establishes the organisation's requirements for the retention and secure disposal of all information assets.</w:t>
      </w:r>
    </w:p>
    <w:p>
      <w:pPr>
        <w:spacing w:before="60" w:after="60"/>
      </w:pPr>
      <w:r>
        <w:t xml:space="preserve"/>
      </w:r>
    </w:p>
    <w:p>
      <w:pPr>
        <w:pStyle w:val="Heading1"/>
        <w:pBdr>
          <w:bottom w:val="single" w:color="2E5496" w:sz="6" w:space="1"/>
        </w:pBdr>
        <w:spacing w:before="280" w:after="140"/>
      </w:pPr>
      <w:r>
        <w:rPr>
          <w:rFonts w:ascii="Arial" w:cs="Arial" w:eastAsia="Arial" w:hAnsi="Arial"/>
          <w:b/>
          <w:bCs/>
          <w:color w:val="1F3864"/>
          <w:sz w:val="32"/>
          <w:szCs w:val="32"/>
        </w:rPr>
        <w:t xml:space="preserve">2.  Purpose</w:t>
      </w:r>
    </w:p>
    <w:p>
      <w:pPr>
        <w:spacing w:before="80" w:after="80"/>
      </w:pPr>
      <w:r>
        <w:rPr>
          <w:rFonts w:ascii="Arial" w:cs="Arial" w:eastAsia="Arial" w:hAnsi="Arial"/>
          <w:sz w:val="22"/>
          <w:szCs w:val="22"/>
        </w:rPr>
        <w:t xml:space="preserve">This policy defines the minimum and maximum retention periods for key categories of information and the requirements for secure disposal when information is no longer required.</w:t>
      </w:r>
    </w:p>
    <w:p>
      <w:pPr>
        <w:spacing w:before="60" w:after="60"/>
      </w:pPr>
      <w:r>
        <w:t xml:space="preserve"/>
      </w:r>
    </w:p>
    <w:p>
      <w:pPr>
        <w:pStyle w:val="Heading1"/>
        <w:pBdr>
          <w:bottom w:val="single" w:color="2E5496" w:sz="6" w:space="1"/>
        </w:pBdr>
        <w:spacing w:before="280" w:after="140"/>
      </w:pPr>
      <w:r>
        <w:rPr>
          <w:rFonts w:ascii="Arial" w:cs="Arial" w:eastAsia="Arial" w:hAnsi="Arial"/>
          <w:b/>
          <w:bCs/>
          <w:color w:val="1F3864"/>
          <w:sz w:val="32"/>
          <w:szCs w:val="32"/>
        </w:rPr>
        <w:t xml:space="preserve">3.  Scope</w:t>
      </w:r>
    </w:p>
    <w:p>
      <w:pPr>
        <w:spacing w:before="80" w:after="80"/>
      </w:pPr>
      <w:r>
        <w:rPr>
          <w:rFonts w:ascii="Arial" w:cs="Arial" w:eastAsia="Arial" w:hAnsi="Arial"/>
          <w:sz w:val="22"/>
          <w:szCs w:val="22"/>
        </w:rPr>
        <w:t xml:space="preserve">This policy applies to all information assets — digital and physical — created, collected, or held by the organisation, including client data and AI-related data.</w:t>
      </w:r>
    </w:p>
    <w:p>
      <w:pPr>
        <w:spacing w:before="60" w:after="60"/>
      </w:pPr>
      <w:r>
        <w:t xml:space="preserve"/>
      </w:r>
    </w:p>
    <w:p>
      <w:pPr>
        <w:pStyle w:val="Heading1"/>
        <w:pBdr>
          <w:bottom w:val="single" w:color="2E5496" w:sz="6" w:space="1"/>
        </w:pBdr>
        <w:spacing w:before="280" w:after="140"/>
      </w:pPr>
      <w:r>
        <w:rPr>
          <w:rFonts w:ascii="Arial" w:cs="Arial" w:eastAsia="Arial" w:hAnsi="Arial"/>
          <w:b/>
          <w:bCs/>
          <w:color w:val="1F3864"/>
          <w:sz w:val="32"/>
          <w:szCs w:val="32"/>
        </w:rPr>
        <w:t xml:space="preserve">4.  Terms and Definitions</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Term</w:t>
            </w:r>
          </w:p>
        </w:tc>
        <w:tc>
          <w:tcPr>
            <w:tcW w:type="dxa" w:w="6226"/>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Definition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Retention Period</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The length of time information must be kept before it can be disposed of.</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Legal Hold</w:t>
            </w:r>
          </w:p>
        </w:tc>
        <w:tc>
          <w:tcPr>
            <w:tcW w:type="dxa" w:w="6226"/>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A requirement to preserve information beyond its normal retention period due to actual or anticipated legal proceedings, regulatory investigation, or audit.</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Secure Disposal</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The irreversible destruction of information in a manner that prevents recovery.</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Data Minimisation</w:t>
            </w:r>
          </w:p>
        </w:tc>
        <w:tc>
          <w:tcPr>
            <w:tcW w:type="dxa" w:w="6226"/>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The principle that only the minimum amount of data necessary should be collected and retained.</w:t>
            </w:r>
          </w:p>
        </w:tc>
      </w:tr>
    </w:tbl>
    <w:p>
      <w:pPr>
        <w:spacing w:before="60" w:after="60"/>
      </w:pPr>
      <w:r>
        <w:t xml:space="preserve"/>
      </w:r>
    </w:p>
    <w:p>
      <w:pPr>
        <w:pStyle w:val="Heading1"/>
        <w:pBdr>
          <w:bottom w:val="single" w:color="2E5496" w:sz="6" w:space="1"/>
        </w:pBdr>
        <w:spacing w:before="280" w:after="140"/>
      </w:pPr>
      <w:r>
        <w:rPr>
          <w:rFonts w:ascii="Arial" w:cs="Arial" w:eastAsia="Arial" w:hAnsi="Arial"/>
          <w:b/>
          <w:bCs/>
          <w:color w:val="1F3864"/>
          <w:sz w:val="32"/>
          <w:szCs w:val="32"/>
        </w:rPr>
        <w:t xml:space="preserve">5.  Policy</w:t>
      </w:r>
    </w:p>
    <w:p>
      <w:pPr>
        <w:pStyle w:val="Heading2"/>
        <w:spacing w:before="180" w:after="80"/>
      </w:pPr>
      <w:r>
        <w:rPr>
          <w:rFonts w:ascii="Arial" w:cs="Arial" w:eastAsia="Arial" w:hAnsi="Arial"/>
          <w:b/>
          <w:bCs/>
          <w:color w:val="2E5496"/>
          <w:sz w:val="26"/>
          <w:szCs w:val="26"/>
        </w:rPr>
        <w:t xml:space="preserve">5.1  Retention Schedule</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1800"/>
        <w:gridCol w:w="2426"/>
      </w:tblGrid>
      <w:tr>
        <w:tc>
          <w:tcPr>
            <w:tcW w:type="dxa" w:w="30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Data Category</w:t>
            </w:r>
          </w:p>
        </w:tc>
        <w:tc>
          <w:tcPr>
            <w:tcW w:type="dxa" w:w="18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Minimum Retention</w:t>
            </w:r>
          </w:p>
        </w:tc>
        <w:tc>
          <w:tcPr>
            <w:tcW w:type="dxa" w:w="18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Maximum Retention</w:t>
            </w:r>
          </w:p>
        </w:tc>
        <w:tc>
          <w:tcPr>
            <w:tcW w:type="dxa" w:w="2426"/>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Notes</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Employee records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7 years post-separation</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7 years post-separation</w:t>
            </w:r>
          </w:p>
        </w:tc>
        <w:tc>
          <w:tcPr>
            <w:tcW w:type="dxa" w:w="24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As required by Fair Work Act</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Financial records</w:t>
            </w:r>
          </w:p>
        </w:tc>
        <w:tc>
          <w:tcPr>
            <w:tcW w:type="dxa" w:w="1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7 years</w:t>
            </w:r>
          </w:p>
        </w:tc>
        <w:tc>
          <w:tcPr>
            <w:tcW w:type="dxa" w:w="1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7 years</w:t>
            </w:r>
          </w:p>
        </w:tc>
        <w:tc>
          <w:tcPr>
            <w:tcW w:type="dxa" w:w="2426"/>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As required by Corporations Act 2001</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Client contracts and agreements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7 years post-expiry</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7 years post-expiry</w:t>
            </w:r>
          </w:p>
        </w:tc>
        <w:tc>
          <w:tcPr>
            <w:tcW w:type="dxa" w:w="24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May vary by client contract</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Client service records</w:t>
            </w:r>
          </w:p>
        </w:tc>
        <w:tc>
          <w:tcPr>
            <w:tcW w:type="dxa" w:w="1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Duration of service + 7 years</w:t>
            </w:r>
          </w:p>
        </w:tc>
        <w:tc>
          <w:tcPr>
            <w:tcW w:type="dxa" w:w="1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As required by client contract</w:t>
            </w:r>
          </w:p>
        </w:tc>
        <w:tc>
          <w:tcPr>
            <w:tcW w:type="dxa" w:w="2426"/>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Security incident records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7 years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7 years</w:t>
            </w:r>
          </w:p>
        </w:tc>
        <w:tc>
          <w:tcPr>
            <w:tcW w:type="dxa" w:w="24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For regulatory and legal purposes</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Audit and compliance records</w:t>
            </w:r>
          </w:p>
        </w:tc>
        <w:tc>
          <w:tcPr>
            <w:tcW w:type="dxa" w:w="1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7 years</w:t>
            </w:r>
          </w:p>
        </w:tc>
        <w:tc>
          <w:tcPr>
            <w:tcW w:type="dxa" w:w="1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7 years</w:t>
            </w:r>
          </w:p>
        </w:tc>
        <w:tc>
          <w:tcPr>
            <w:tcW w:type="dxa" w:w="2426"/>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ISO 27001 requirement</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AI training datasets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Life of model</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Life of model + any regulatory minimum</w:t>
            </w:r>
          </w:p>
        </w:tc>
        <w:tc>
          <w:tcPr>
            <w:tcW w:type="dxa" w:w="24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Delete securely on model decommission</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AI audit logs (consequential decisions)</w:t>
            </w:r>
          </w:p>
        </w:tc>
        <w:tc>
          <w:tcPr>
            <w:tcW w:type="dxa" w:w="1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12 months accessible + 7 years archived</w:t>
            </w:r>
          </w:p>
        </w:tc>
        <w:tc>
          <w:tcPr>
            <w:tcW w:type="dxa" w:w="1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7 years</w:t>
            </w:r>
          </w:p>
        </w:tc>
        <w:tc>
          <w:tcPr>
            <w:tcW w:type="dxa" w:w="2426"/>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Per POL-AI-004</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AI audit logs (routine)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Minimum 12 months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12 months</w:t>
            </w:r>
          </w:p>
        </w:tc>
        <w:tc>
          <w:tcPr>
            <w:tcW w:type="dxa" w:w="24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Per POL-AI-004</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System and security logs</w:t>
            </w:r>
          </w:p>
        </w:tc>
        <w:tc>
          <w:tcPr>
            <w:tcW w:type="dxa" w:w="1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Minimum 30 days accessible</w:t>
            </w:r>
          </w:p>
        </w:tc>
        <w:tc>
          <w:tcPr>
            <w:tcW w:type="dxa" w:w="1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As operationally required</w:t>
            </w:r>
          </w:p>
        </w:tc>
        <w:tc>
          <w:tcPr>
            <w:tcW w:type="dxa" w:w="2426"/>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Per POL-SEC-003</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Email communications (general)</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3 years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3 years</w:t>
            </w:r>
          </w:p>
        </w:tc>
        <w:tc>
          <w:tcPr>
            <w:tcW w:type="dxa" w:w="24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Unless subject to legal hold</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Personal information (non-employee)</w:t>
            </w:r>
          </w:p>
        </w:tc>
        <w:tc>
          <w:tcPr>
            <w:tcW w:type="dxa" w:w="1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Only while purpose exists</w:t>
            </w:r>
          </w:p>
        </w:tc>
        <w:tc>
          <w:tcPr>
            <w:tcW w:type="dxa" w:w="1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Delete promptly when purpose ceases</w:t>
            </w:r>
          </w:p>
        </w:tc>
        <w:tc>
          <w:tcPr>
            <w:tcW w:type="dxa" w:w="2426"/>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Privacy Act 1988 (Cth)</w:t>
            </w:r>
          </w:p>
        </w:tc>
      </w:tr>
    </w:tbl>
    <w:p>
      <w:pPr>
        <w:spacing w:before="60" w:after="60"/>
      </w:pPr>
      <w:r>
        <w:t xml:space="preserve"/>
      </w:r>
    </w:p>
    <w:p>
      <w:pPr>
        <w:pStyle w:val="Heading2"/>
        <w:spacing w:before="180" w:after="80"/>
      </w:pPr>
      <w:r>
        <w:rPr>
          <w:rFonts w:ascii="Arial" w:cs="Arial" w:eastAsia="Arial" w:hAnsi="Arial"/>
          <w:b/>
          <w:bCs/>
          <w:color w:val="2E5496"/>
          <w:sz w:val="26"/>
          <w:szCs w:val="26"/>
        </w:rPr>
        <w:t xml:space="preserve">5.2  Legal Hold</w:t>
      </w:r>
    </w:p>
    <w:p>
      <w:pPr>
        <w:spacing w:before="80" w:after="80"/>
      </w:pPr>
      <w:r>
        <w:rPr>
          <w:rFonts w:ascii="Arial" w:cs="Arial" w:eastAsia="Arial" w:hAnsi="Arial"/>
          <w:sz w:val="22"/>
          <w:szCs w:val="22"/>
        </w:rPr>
        <w:t xml:space="preserve">Where information is subject to a legal hold — including actual or anticipated litigation, regulatory investigation, or audit — normal retention and disposal schedules are suspended for the affected information. Legal holds must be authorised by the CEO or legal counsel and documented. The information must be preserved in its current state until the hold is formally released.</w:t>
      </w:r>
    </w:p>
    <w:p>
      <w:pPr>
        <w:spacing w:before="60" w:after="60"/>
      </w:pPr>
      <w:r>
        <w:t xml:space="preserve"/>
      </w:r>
    </w:p>
    <w:p>
      <w:pPr>
        <w:pStyle w:val="Heading2"/>
        <w:spacing w:before="180" w:after="80"/>
      </w:pPr>
      <w:r>
        <w:rPr>
          <w:rFonts w:ascii="Arial" w:cs="Arial" w:eastAsia="Arial" w:hAnsi="Arial"/>
          <w:b/>
          <w:bCs/>
          <w:color w:val="2E5496"/>
          <w:sz w:val="26"/>
          <w:szCs w:val="26"/>
        </w:rPr>
        <w:t xml:space="preserve">5.3  Secure Disposal Methods</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Data Type</w:t>
            </w:r>
          </w:p>
        </w:tc>
        <w:tc>
          <w:tcPr>
            <w:tcW w:type="dxa" w:w="6026"/>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Required Disposal Method</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Digital data on managed devices</w:t>
            </w:r>
          </w:p>
        </w:tc>
        <w:tc>
          <w:tcPr>
            <w:tcW w:type="dxa" w:w="60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Cryptographic erasure or NIST 800-88 compliant secure wipe before device reuse or disposal</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Digital data in cloud or SaaS platforms</w:t>
            </w:r>
          </w:p>
        </w:tc>
        <w:tc>
          <w:tcPr>
            <w:tcW w:type="dxa" w:w="6026"/>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Confirmed deletion via platform controls; request vendor confirmation where contractually required</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AI model artefacts and training data</w:t>
            </w:r>
          </w:p>
        </w:tc>
        <w:tc>
          <w:tcPr>
            <w:tcW w:type="dxa" w:w="60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Cryptographic erasure or secure deletion with audit log of deletion event</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Physical documents (Restricted/Confidential)</w:t>
            </w:r>
          </w:p>
        </w:tc>
        <w:tc>
          <w:tcPr>
            <w:tcW w:type="dxa" w:w="6026"/>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Cross-cut shredding or certified destruction service</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Physical documents (Internal)</w:t>
            </w:r>
          </w:p>
        </w:tc>
        <w:tc>
          <w:tcPr>
            <w:tcW w:type="dxa" w:w="60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Cross-cut shredding</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Removable media</w:t>
            </w:r>
          </w:p>
        </w:tc>
        <w:tc>
          <w:tcPr>
            <w:tcW w:type="dxa" w:w="6026"/>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Physical destruction or certified erasure</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Decommissioned hardware</w:t>
            </w:r>
          </w:p>
        </w:tc>
        <w:tc>
          <w:tcPr>
            <w:tcW w:type="dxa" w:w="60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Certified data destruction service with certificate of destruction</w:t>
            </w:r>
          </w:p>
        </w:tc>
      </w:tr>
    </w:tbl>
    <w:p>
      <w:pPr>
        <w:spacing w:before="60" w:after="60"/>
      </w:pPr>
      <w:r>
        <w:t xml:space="preserve"/>
      </w:r>
    </w:p>
    <w:p>
      <w:pPr>
        <w:pStyle w:val="Heading2"/>
        <w:spacing w:before="180" w:after="80"/>
      </w:pPr>
      <w:r>
        <w:rPr>
          <w:rFonts w:ascii="Arial" w:cs="Arial" w:eastAsia="Arial" w:hAnsi="Arial"/>
          <w:b/>
          <w:bCs/>
          <w:color w:val="2E5496"/>
          <w:sz w:val="26"/>
          <w:szCs w:val="26"/>
        </w:rPr>
        <w:t xml:space="preserve">5.4  AI Data Retention</w:t>
      </w:r>
    </w:p>
    <w:p>
      <w:pPr>
        <w:spacing w:before="80" w:after="80"/>
      </w:pPr>
      <w:r>
        <w:rPr>
          <w:rFonts w:ascii="Arial" w:cs="Arial" w:eastAsia="Arial" w:hAnsi="Arial"/>
          <w:sz w:val="22"/>
          <w:szCs w:val="22"/>
        </w:rPr>
        <w:t xml:space="preserve">AI-related data must be retained and disposed of in accordance with both this policy and the AI Data Governance Policy. The AI System Owner is responsible for ensuring that data associated with their AI system is retained appropriately and disposed of securely on system decommissioning.</w:t>
      </w:r>
    </w:p>
    <w:p>
      <w:pPr>
        <w:spacing w:before="60" w:after="60"/>
      </w:pPr>
      <w:r>
        <w:t xml:space="preserve"/>
      </w:r>
    </w:p>
    <w:p>
      <w:pPr>
        <w:pStyle w:val="Heading2"/>
        <w:spacing w:before="180" w:after="80"/>
      </w:pPr>
      <w:r>
        <w:rPr>
          <w:rFonts w:ascii="Arial" w:cs="Arial" w:eastAsia="Arial" w:hAnsi="Arial"/>
          <w:b/>
          <w:bCs/>
          <w:color w:val="2E5496"/>
          <w:sz w:val="26"/>
          <w:szCs w:val="26"/>
        </w:rPr>
        <w:t xml:space="preserve">5.5  Personal Information</w:t>
      </w:r>
    </w:p>
    <w:p>
      <w:pPr>
        <w:spacing w:before="80" w:after="80"/>
      </w:pPr>
      <w:r>
        <w:rPr>
          <w:rFonts w:ascii="Arial" w:cs="Arial" w:eastAsia="Arial" w:hAnsi="Arial"/>
          <w:sz w:val="22"/>
          <w:szCs w:val="22"/>
        </w:rPr>
        <w:t xml:space="preserve">Personal information must not be retained beyond the period necessary for the purpose for which it was collected, consistent with the Privacy Policy and the Privacy Act 1988 (Cth). When personal information is no longer required, it must be destroyed or de-identified using an approved disposal method.</w:t>
      </w:r>
    </w:p>
    <w:p>
      <w:pPr>
        <w:spacing w:before="60" w:after="60"/>
      </w:pPr>
      <w:r>
        <w:t xml:space="preserve"/>
      </w:r>
    </w:p>
    <w:p>
      <w:pPr>
        <w:pStyle w:val="Heading1"/>
        <w:pBdr>
          <w:bottom w:val="single" w:color="2E5496" w:sz="6" w:space="1"/>
        </w:pBdr>
        <w:spacing w:before="280" w:after="140"/>
      </w:pPr>
      <w:r>
        <w:rPr>
          <w:rFonts w:ascii="Arial" w:cs="Arial" w:eastAsia="Arial" w:hAnsi="Arial"/>
          <w:b/>
          <w:bCs/>
          <w:color w:val="1F3864"/>
          <w:sz w:val="32"/>
          <w:szCs w:val="32"/>
        </w:rPr>
        <w:t xml:space="preserve">7.  Compliance and Enforcement</w:t>
      </w:r>
    </w:p>
    <w:p>
      <w:pPr>
        <w:spacing w:before="80" w:after="80"/>
      </w:pPr>
      <w:r>
        <w:rPr>
          <w:rFonts w:ascii="Arial" w:cs="Arial" w:eastAsia="Arial" w:hAnsi="Arial"/>
          <w:sz w:val="22"/>
          <w:szCs w:val="22"/>
        </w:rPr>
        <w:t xml:space="preserve">Compliance with this policy is mandatory for all personnel within its scope. The organisation will conduct periodic reviews and audits to assess adherence.</w:t>
      </w:r>
    </w:p>
    <w:p>
      <w:pPr>
        <w:spacing w:before="80" w:after="80"/>
      </w:pPr>
      <w:r>
        <w:rPr>
          <w:rFonts w:ascii="Arial" w:cs="Arial" w:eastAsia="Arial" w:hAnsi="Arial"/>
          <w:sz w:val="22"/>
          <w:szCs w:val="22"/>
        </w:rPr>
        <w:t xml:space="preserve">Where an individual fails to comply with, or deliberately circumvents, the requirements of this policy, disciplinary action will be initiated in accordance with the Disciplinary Procedure. Depending on the severity of the breach, this may also result in referral to relevant law enforcement bodies.</w:t>
      </w:r>
    </w:p>
    <w:p>
      <w:pPr>
        <w:spacing w:before="60" w:after="60"/>
      </w:pPr>
      <w:r>
        <w:t xml:space="preserve"/>
      </w:r>
    </w:p>
    <w:p>
      <w:pPr>
        <w:pStyle w:val="Heading1"/>
        <w:pBdr>
          <w:bottom w:val="single" w:color="2E5496" w:sz="6" w:space="1"/>
        </w:pBdr>
        <w:spacing w:before="280" w:after="140"/>
      </w:pPr>
      <w:r>
        <w:rPr>
          <w:rFonts w:ascii="Arial" w:cs="Arial" w:eastAsia="Arial" w:hAnsi="Arial"/>
          <w:b/>
          <w:bCs/>
          <w:color w:val="1F3864"/>
          <w:sz w:val="32"/>
          <w:szCs w:val="32"/>
        </w:rPr>
        <w:t xml:space="preserve">8.  Related Documents</w:t>
      </w:r>
    </w:p>
    <w:p>
      <w:pPr>
        <w:pStyle w:val="ListParagraph"/>
        <w:numPr>
          <w:ilvl w:val="0"/>
          <w:numId w:val="2"/>
        </w:numPr>
        <w:spacing w:before="40" w:after="40"/>
      </w:pPr>
      <w:r>
        <w:rPr>
          <w:rFonts w:ascii="Arial" w:cs="Arial" w:eastAsia="Arial" w:hAnsi="Arial"/>
          <w:sz w:val="22"/>
          <w:szCs w:val="22"/>
        </w:rPr>
        <w:t xml:space="preserve">Privacy Policy (POL-GEN-002)</w:t>
      </w:r>
    </w:p>
    <w:p>
      <w:pPr>
        <w:pStyle w:val="ListParagraph"/>
        <w:numPr>
          <w:ilvl w:val="0"/>
          <w:numId w:val="2"/>
        </w:numPr>
        <w:spacing w:before="40" w:after="40"/>
      </w:pPr>
      <w:r>
        <w:rPr>
          <w:rFonts w:ascii="Arial" w:cs="Arial" w:eastAsia="Arial" w:hAnsi="Arial"/>
          <w:sz w:val="22"/>
          <w:szCs w:val="22"/>
        </w:rPr>
        <w:t xml:space="preserve">AI Data Governance Policy (POL-AI-003)</w:t>
      </w:r>
    </w:p>
    <w:p>
      <w:pPr>
        <w:pStyle w:val="ListParagraph"/>
        <w:numPr>
          <w:ilvl w:val="0"/>
          <w:numId w:val="2"/>
        </w:numPr>
        <w:spacing w:before="40" w:after="40"/>
      </w:pPr>
      <w:r>
        <w:rPr>
          <w:rFonts w:ascii="Arial" w:cs="Arial" w:eastAsia="Arial" w:hAnsi="Arial"/>
          <w:sz w:val="22"/>
          <w:szCs w:val="22"/>
        </w:rPr>
        <w:t xml:space="preserve">Logging and Monitoring Policy (POL-SEC-003)</w:t>
      </w:r>
    </w:p>
    <w:p>
      <w:pPr>
        <w:pStyle w:val="ListParagraph"/>
        <w:numPr>
          <w:ilvl w:val="0"/>
          <w:numId w:val="2"/>
        </w:numPr>
        <w:spacing w:before="40" w:after="40"/>
      </w:pPr>
      <w:r>
        <w:rPr>
          <w:rFonts w:ascii="Arial" w:cs="Arial" w:eastAsia="Arial" w:hAnsi="Arial"/>
          <w:sz w:val="22"/>
          <w:szCs w:val="22"/>
        </w:rPr>
        <w:t xml:space="preserve">Information Classification Policy (POL-SEC-008)</w:t>
      </w:r>
    </w:p>
    <w:p>
      <w:pPr>
        <w:pStyle w:val="ListParagraph"/>
        <w:numPr>
          <w:ilvl w:val="0"/>
          <w:numId w:val="2"/>
        </w:numPr>
        <w:spacing w:before="40" w:after="40"/>
      </w:pPr>
      <w:r>
        <w:rPr>
          <w:rFonts w:ascii="Arial" w:cs="Arial" w:eastAsia="Arial" w:hAnsi="Arial"/>
          <w:sz w:val="22"/>
          <w:szCs w:val="22"/>
        </w:rPr>
        <w:t xml:space="preserve">Cryptographic Control Policy (POL-SEC-001)</w:t>
      </w:r>
    </w:p>
    <w:p>
      <w:pPr>
        <w:spacing w:before="60" w:after="60"/>
      </w:pPr>
      <w:r>
        <w:t xml:space="preserve"/>
      </w:r>
    </w:p>
    <w:p>
      <w:pPr>
        <w:pStyle w:val="Heading1"/>
        <w:pBdr>
          <w:bottom w:val="single" w:color="2E5496" w:sz="6" w:space="1"/>
        </w:pBdr>
        <w:spacing w:before="280" w:after="140"/>
      </w:pPr>
      <w:r>
        <w:rPr>
          <w:rFonts w:ascii="Arial" w:cs="Arial" w:eastAsia="Arial" w:hAnsi="Arial"/>
          <w:b/>
          <w:bCs/>
          <w:color w:val="1F3864"/>
          <w:sz w:val="32"/>
          <w:szCs w:val="32"/>
        </w:rPr>
        <w:t xml:space="preserve">9.  Policy Review</w:t>
      </w:r>
    </w:p>
    <w:p>
      <w:pPr>
        <w:spacing w:before="80" w:after="80"/>
      </w:pPr>
      <w:r>
        <w:rPr>
          <w:rFonts w:ascii="Arial" w:cs="Arial" w:eastAsia="Arial" w:hAnsi="Arial"/>
          <w:sz w:val="22"/>
          <w:szCs w:val="22"/>
        </w:rPr>
        <w:t xml:space="preserve">This policy shall be reviewed at least annually or following any significant change to the organisation's environment, a security incident, or updates to applicable standards and regulatory requirements. The policy owner is responsible for initiating and managing the review process.</w:t>
      </w:r>
    </w:p>
    <w:p>
      <w:pPr>
        <w:spacing w:before="60" w:after="60"/>
      </w:pPr>
      <w:r>
        <w:t xml:space="preserve"/>
      </w:r>
    </w:p>
    <w:p>
      <w:pPr>
        <w:pStyle w:val="Heading1"/>
        <w:pBdr>
          <w:bottom w:val="single" w:color="2E5496" w:sz="6" w:space="1"/>
        </w:pBdr>
        <w:spacing w:before="280" w:after="140"/>
      </w:pPr>
      <w:r>
        <w:rPr>
          <w:rFonts w:ascii="Arial" w:cs="Arial" w:eastAsia="Arial" w:hAnsi="Arial"/>
          <w:b/>
          <w:bCs/>
          <w:color w:val="1F3864"/>
          <w:sz w:val="32"/>
          <w:szCs w:val="32"/>
        </w:rPr>
        <w:t xml:space="preserve">10.  Document Revision History</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4626"/>
        <w:gridCol w:w="1700"/>
      </w:tblGrid>
      <w:tr>
        <w:tc>
          <w:tcPr>
            <w:tcW w:type="dxa" w:w="9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Version</w:t>
            </w:r>
          </w:p>
        </w:tc>
        <w:tc>
          <w:tcPr>
            <w:tcW w:type="dxa" w:w="18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Date</w:t>
            </w:r>
          </w:p>
        </w:tc>
        <w:tc>
          <w:tcPr>
            <w:tcW w:type="dxa" w:w="4626"/>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Description</w:t>
            </w:r>
          </w:p>
        </w:tc>
        <w:tc>
          <w:tcPr>
            <w:tcW w:type="dxa" w:w="17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Author</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1.0</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[DD/MM/YYYY]</w:t>
            </w:r>
          </w:p>
        </w:tc>
        <w:tc>
          <w:tcPr>
            <w:tcW w:type="dxa" w:w="46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Initial release</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[Author Name]</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40"/>
      <w:outlineLvl w:val="0"/>
    </w:pPr>
    <w:rPr>
      <w:rFonts w:ascii="Arial" w:cs="Arial" w:eastAsia="Arial" w:hAnsi="Arial"/>
      <w:b/>
      <w:bCs/>
      <w:color w:val="1F3864"/>
      <w:sz w:val="32"/>
      <w:szCs w:val="32"/>
    </w:rPr>
  </w:style>
  <w:style w:type="paragraph" w:styleId="Heading2">
    <w:name w:val="Heading 2"/>
    <w:basedOn w:val="Normal"/>
    <w:next w:val="Normal"/>
    <w:qFormat/>
    <w:pPr>
      <w:spacing w:before="180" w:after="80"/>
      <w:outlineLvl w:val="1"/>
    </w:pPr>
    <w:rPr>
      <w:rFonts w:ascii="Arial" w:cs="Arial" w:eastAsia="Arial" w:hAnsi="Arial"/>
      <w:b/>
      <w:bCs/>
      <w:color w:val="2E5496"/>
      <w:sz w:val="26"/>
      <w:szCs w:val="26"/>
    </w:rPr>
  </w:style>
  <w:style w:type="paragraph" w:styleId="Heading3">
    <w:name w:val="Heading 3"/>
    <w:basedOn w:val="Normal"/>
    <w:next w:val="Normal"/>
    <w:qFormat/>
    <w:pPr>
      <w:spacing w:before="140" w:after="6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2026-03-30T14:15:04.601Z</dcterms:created>
  <dcterms:modified xsi:type="dcterms:W3CDTF">2026-03-30T14:15:04.601Z</dcterms:modified>
</cp:coreProperties>
</file>

<file path=docProps/custom.xml><?xml version="1.0" encoding="utf-8"?>
<Properties xmlns="http://schemas.openxmlformats.org/officeDocument/2006/custom-properties" xmlns:vt="http://schemas.openxmlformats.org/officeDocument/2006/docPropsVTypes"/>
</file>