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VULNERABILITY MANAGEMENT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Vulnerability Management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POL-SEC-017</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A.8.8 — Management of technical vulnerabilities</w:t>
            </w:r>
          </w:p>
          <w:p>
            <w:r>
              <w:rPr>
                <w:rFonts w:ascii="Arial" w:cs="Arial" w:eastAsia="Arial" w:hAnsi="Arial"/>
                <w:sz w:val="22"/>
                <w:szCs w:val="22"/>
              </w:rPr>
              <w:t xml:space="preserve">A.8.9 — Configuration management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Technical vulnerabilities in systems and software are a primary attack vector for security incidents. A structured vulnerability management program enables the organisation to identify, prioritise, and remediate vulnerabilities before they can be exploited, reducing the risk to the organisation and its clients.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identifying, assessing, prioritising, and remediating technical vulnerabilities across the organisation's systems and infrastructure.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systems, applications, and infrastructure operated by or on behalf of the organisation, including client-managed environments where the organisation holds operational responsibility.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Vulnerability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weakness in a system, application, or process that could be exploited to cause harm.</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CVE (Common Vulnerabilities and Exposures)</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publicly disclosed cybersecurity vulnerability assigned a unique identifier by MITRE.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CVSS (Common Vulnerability Scoring System)</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standardised framework for rating the severity of security vulnerabilities on a scale of 0-10.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Patch</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software update that fixes a known vulnerability or defect.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Penetration Testing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authorised simulated attack on a system to identify exploitable vulnerabilities.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Zero-Day Vulnerability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vulnerability that is actively exploited before a patch is available from the vendor.</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Vulnerability Scanning</w:t>
      </w:r>
    </w:p>
    <w:p>
      <w:pPr>
        <w:spacing w:before="80" w:after="80"/>
      </w:pPr>
      <w:r>
        <w:rPr>
          <w:rFonts w:ascii="Arial" w:cs="Arial" w:eastAsia="Arial" w:hAnsi="Arial"/>
          <w:sz w:val="22"/>
          <w:szCs w:val="22"/>
        </w:rPr>
        <w:t xml:space="preserve">Vulnerability scanning must be conducted across all in-scope systems on the following cadence:</w:t>
      </w:r>
    </w:p>
    <w:p>
      <w:pPr>
        <w:pStyle w:val="ListParagraph"/>
        <w:numPr>
          <w:ilvl w:val="0"/>
          <w:numId w:val="2"/>
        </w:numPr>
        <w:spacing w:before="40" w:after="40"/>
      </w:pPr>
      <w:r>
        <w:rPr>
          <w:rFonts w:ascii="Arial" w:cs="Arial" w:eastAsia="Arial" w:hAnsi="Arial"/>
          <w:sz w:val="22"/>
          <w:szCs w:val="22"/>
        </w:rPr>
        <w:t xml:space="preserve">Internal network and infrastructure: at least monthly.</w:t>
      </w:r>
    </w:p>
    <w:p>
      <w:pPr>
        <w:pStyle w:val="ListParagraph"/>
        <w:numPr>
          <w:ilvl w:val="0"/>
          <w:numId w:val="2"/>
        </w:numPr>
        <w:spacing w:before="40" w:after="40"/>
      </w:pPr>
      <w:r>
        <w:rPr>
          <w:rFonts w:ascii="Arial" w:cs="Arial" w:eastAsia="Arial" w:hAnsi="Arial"/>
          <w:sz w:val="22"/>
          <w:szCs w:val="22"/>
        </w:rPr>
        <w:t xml:space="preserve">External-facing systems and services: at least monthly.</w:t>
      </w:r>
    </w:p>
    <w:p>
      <w:pPr>
        <w:pStyle w:val="ListParagraph"/>
        <w:numPr>
          <w:ilvl w:val="0"/>
          <w:numId w:val="2"/>
        </w:numPr>
        <w:spacing w:before="40" w:after="40"/>
      </w:pPr>
      <w:r>
        <w:rPr>
          <w:rFonts w:ascii="Arial" w:cs="Arial" w:eastAsia="Arial" w:hAnsi="Arial"/>
          <w:sz w:val="22"/>
          <w:szCs w:val="22"/>
        </w:rPr>
        <w:t xml:space="preserve">Web applications: at least quarterly, and before any major release.</w:t>
      </w:r>
    </w:p>
    <w:p>
      <w:pPr>
        <w:pStyle w:val="ListParagraph"/>
        <w:numPr>
          <w:ilvl w:val="0"/>
          <w:numId w:val="2"/>
        </w:numPr>
        <w:spacing w:before="40" w:after="40"/>
      </w:pPr>
      <w:r>
        <w:rPr>
          <w:rFonts w:ascii="Arial" w:cs="Arial" w:eastAsia="Arial" w:hAnsi="Arial"/>
          <w:sz w:val="22"/>
          <w:szCs w:val="22"/>
        </w:rPr>
        <w:t xml:space="preserve">Ad hoc: following significant changes to systems or following notification of a critical vulnerability relevant to the organisation's technology stack.</w:t>
      </w:r>
    </w:p>
    <w:p>
      <w:pPr>
        <w:spacing w:before="80" w:after="80"/>
      </w:pPr>
      <w:r>
        <w:rPr>
          <w:rFonts w:ascii="Arial" w:cs="Arial" w:eastAsia="Arial" w:hAnsi="Arial"/>
          <w:sz w:val="22"/>
          <w:szCs w:val="22"/>
        </w:rPr>
        <w:t xml:space="preserve">Scanning tools must be maintained with current vulnerability signatures. Scan results must be reviewed promptly and imported into the remediation tracking process.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Severity Classification and Remediation Timeframes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Severity (CVSS Score)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Rating</w:t>
            </w:r>
          </w:p>
        </w:tc>
        <w:tc>
          <w:tcPr>
            <w:tcW w:type="dxa" w:w="5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Remediation Timeframe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9.0 – 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Critical</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Within 24 hours of confirmation; emergency change process if required</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7.0 – 8.9</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High</w:t>
            </w:r>
          </w:p>
        </w:tc>
        <w:tc>
          <w:tcPr>
            <w:tcW w:type="dxa" w:w="5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Within 7 days of confirmation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4.0 – 6.9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Medium</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Within 30 days of confirmation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0.1 – 3.9</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Low</w:t>
            </w:r>
          </w:p>
        </w:tc>
        <w:tc>
          <w:tcPr>
            <w:tcW w:type="dxa" w:w="50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Within 90 days or as part of next scheduled maintenance cycle</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5.3  Patch Management</w:t>
      </w:r>
    </w:p>
    <w:p>
      <w:pPr>
        <w:spacing w:before="80" w:after="80"/>
      </w:pPr>
      <w:r>
        <w:rPr>
          <w:rFonts w:ascii="Arial" w:cs="Arial" w:eastAsia="Arial" w:hAnsi="Arial"/>
          <w:sz w:val="22"/>
          <w:szCs w:val="22"/>
        </w:rPr>
        <w:t xml:space="preserve">Patches must be applied within the timeframes defined by vulnerability severity in section 5.2. The following requirements apply to all patching activity:</w:t>
      </w:r>
    </w:p>
    <w:p>
      <w:pPr>
        <w:pStyle w:val="ListParagraph"/>
        <w:numPr>
          <w:ilvl w:val="0"/>
          <w:numId w:val="2"/>
        </w:numPr>
        <w:spacing w:before="40" w:after="40"/>
      </w:pPr>
      <w:r>
        <w:rPr>
          <w:rFonts w:ascii="Arial" w:cs="Arial" w:eastAsia="Arial" w:hAnsi="Arial"/>
          <w:sz w:val="22"/>
          <w:szCs w:val="22"/>
        </w:rPr>
        <w:t xml:space="preserve">Patches must be tested in a non-production environment before deployment to production, except where emergency patching is required for a Critical vulnerability.</w:t>
      </w:r>
    </w:p>
    <w:p>
      <w:pPr>
        <w:pStyle w:val="ListParagraph"/>
        <w:numPr>
          <w:ilvl w:val="0"/>
          <w:numId w:val="2"/>
        </w:numPr>
        <w:spacing w:before="40" w:after="40"/>
      </w:pPr>
      <w:r>
        <w:rPr>
          <w:rFonts w:ascii="Arial" w:cs="Arial" w:eastAsia="Arial" w:hAnsi="Arial"/>
          <w:sz w:val="22"/>
          <w:szCs w:val="22"/>
        </w:rPr>
        <w:t xml:space="preserve">All patching must follow the Change Management Policy.</w:t>
      </w:r>
    </w:p>
    <w:p>
      <w:pPr>
        <w:pStyle w:val="ListParagraph"/>
        <w:numPr>
          <w:ilvl w:val="0"/>
          <w:numId w:val="2"/>
        </w:numPr>
        <w:spacing w:before="40" w:after="40"/>
      </w:pPr>
      <w:r>
        <w:rPr>
          <w:rFonts w:ascii="Arial" w:cs="Arial" w:eastAsia="Arial" w:hAnsi="Arial"/>
          <w:sz w:val="22"/>
          <w:szCs w:val="22"/>
        </w:rPr>
        <w:t xml:space="preserve">Operating systems and third-party software must be kept on vendor-supported versions. End-of-life software must be identified, remediated, or risk-accepted.</w:t>
      </w:r>
    </w:p>
    <w:p>
      <w:pPr>
        <w:pStyle w:val="ListParagraph"/>
        <w:numPr>
          <w:ilvl w:val="0"/>
          <w:numId w:val="2"/>
        </w:numPr>
        <w:spacing w:before="40" w:after="40"/>
      </w:pPr>
      <w:r>
        <w:rPr>
          <w:rFonts w:ascii="Arial" w:cs="Arial" w:eastAsia="Arial" w:hAnsi="Arial"/>
          <w:sz w:val="22"/>
          <w:szCs w:val="22"/>
        </w:rPr>
        <w:t xml:space="preserve">Dependencies and libraries in IaC and application development must be reviewed and updated at least quarterly per the Secure Infrastructure as Code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Penetration Testing</w:t>
      </w:r>
    </w:p>
    <w:p>
      <w:pPr>
        <w:spacing w:before="80" w:after="80"/>
      </w:pPr>
      <w:r>
        <w:rPr>
          <w:rFonts w:ascii="Arial" w:cs="Arial" w:eastAsia="Arial" w:hAnsi="Arial"/>
          <w:sz w:val="22"/>
          <w:szCs w:val="22"/>
        </w:rPr>
        <w:t xml:space="preserve">The organisation must conduct penetration testing of significant systems and infrastructure at least annually. Penetration testing must:</w:t>
      </w:r>
    </w:p>
    <w:p>
      <w:pPr>
        <w:pStyle w:val="ListParagraph"/>
        <w:numPr>
          <w:ilvl w:val="0"/>
          <w:numId w:val="2"/>
        </w:numPr>
        <w:spacing w:before="40" w:after="40"/>
      </w:pPr>
      <w:r>
        <w:rPr>
          <w:rFonts w:ascii="Arial" w:cs="Arial" w:eastAsia="Arial" w:hAnsi="Arial"/>
          <w:sz w:val="22"/>
          <w:szCs w:val="22"/>
        </w:rPr>
        <w:t xml:space="preserve">Be conducted by qualified internal or external resources with defined scope and rules of engagement.</w:t>
      </w:r>
    </w:p>
    <w:p>
      <w:pPr>
        <w:pStyle w:val="ListParagraph"/>
        <w:numPr>
          <w:ilvl w:val="0"/>
          <w:numId w:val="2"/>
        </w:numPr>
        <w:spacing w:before="40" w:after="40"/>
      </w:pPr>
      <w:r>
        <w:rPr>
          <w:rFonts w:ascii="Arial" w:cs="Arial" w:eastAsia="Arial" w:hAnsi="Arial"/>
          <w:sz w:val="22"/>
          <w:szCs w:val="22"/>
        </w:rPr>
        <w:t xml:space="preserve">Cover all external-facing systems and, on rotation, significant internal systems.</w:t>
      </w:r>
    </w:p>
    <w:p>
      <w:pPr>
        <w:pStyle w:val="ListParagraph"/>
        <w:numPr>
          <w:ilvl w:val="0"/>
          <w:numId w:val="2"/>
        </w:numPr>
        <w:spacing w:before="40" w:after="40"/>
      </w:pPr>
      <w:r>
        <w:rPr>
          <w:rFonts w:ascii="Arial" w:cs="Arial" w:eastAsia="Arial" w:hAnsi="Arial"/>
          <w:sz w:val="22"/>
          <w:szCs w:val="22"/>
        </w:rPr>
        <w:t xml:space="preserve">Produce a formal report documenting findings, severity ratings, and remediation recommendations.</w:t>
      </w:r>
    </w:p>
    <w:p>
      <w:pPr>
        <w:pStyle w:val="ListParagraph"/>
        <w:numPr>
          <w:ilvl w:val="0"/>
          <w:numId w:val="2"/>
        </w:numPr>
        <w:spacing w:before="40" w:after="40"/>
      </w:pPr>
      <w:r>
        <w:rPr>
          <w:rFonts w:ascii="Arial" w:cs="Arial" w:eastAsia="Arial" w:hAnsi="Arial"/>
          <w:sz w:val="22"/>
          <w:szCs w:val="22"/>
        </w:rPr>
        <w:t xml:space="preserve">Have all Critical and High findings remediated within the timeframes in section 5.2.</w:t>
      </w:r>
    </w:p>
    <w:p>
      <w:pPr>
        <w:pStyle w:val="ListParagraph"/>
        <w:numPr>
          <w:ilvl w:val="0"/>
          <w:numId w:val="2"/>
        </w:numPr>
        <w:spacing w:before="40" w:after="40"/>
      </w:pPr>
      <w:r>
        <w:rPr>
          <w:rFonts w:ascii="Arial" w:cs="Arial" w:eastAsia="Arial" w:hAnsi="Arial"/>
          <w:sz w:val="22"/>
          <w:szCs w:val="22"/>
        </w:rPr>
        <w:t xml:space="preserve">Be repeated following remediation of Critical and High findings to confirm effective closure.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Threat Intelligence</w:t>
      </w:r>
    </w:p>
    <w:p>
      <w:pPr>
        <w:spacing w:before="80" w:after="80"/>
      </w:pPr>
      <w:r>
        <w:rPr>
          <w:rFonts w:ascii="Arial" w:cs="Arial" w:eastAsia="Arial" w:hAnsi="Arial"/>
          <w:sz w:val="22"/>
          <w:szCs w:val="22"/>
        </w:rPr>
        <w:t xml:space="preserve">The organisation must monitor threat intelligence sources to remain aware of emerging vulnerabilities relevant to its technology stack. Where a zero-day or critical vulnerability is identified that affects the organisation's systems, an emergency response must be initiated regardless of the scheduled scanning cycle. Threat intelligence sources include ACSC advisories, vendor security bulletins, and industry security feeds.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Exceptions and Risk Acceptance</w:t>
      </w:r>
    </w:p>
    <w:p>
      <w:pPr>
        <w:spacing w:before="80" w:after="80"/>
      </w:pPr>
      <w:r>
        <w:rPr>
          <w:rFonts w:ascii="Arial" w:cs="Arial" w:eastAsia="Arial" w:hAnsi="Arial"/>
          <w:sz w:val="22"/>
          <w:szCs w:val="22"/>
        </w:rPr>
        <w:t xml:space="preserve">Where a vulnerability cannot be remediated within the required timeframe, an exception must be documented and approved by the Information Security Officer. The exception must include the justification, compensating controls applied, residual risk assessment, and a target remediation date. Exceptions must be reviewed at least monthly.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Change Management Policy (POL-SEC-012)</w:t>
      </w:r>
    </w:p>
    <w:p>
      <w:pPr>
        <w:pStyle w:val="ListParagraph"/>
        <w:numPr>
          <w:ilvl w:val="0"/>
          <w:numId w:val="2"/>
        </w:numPr>
        <w:spacing w:before="40" w:after="40"/>
      </w:pPr>
      <w:r>
        <w:rPr>
          <w:rFonts w:ascii="Arial" w:cs="Arial" w:eastAsia="Arial" w:hAnsi="Arial"/>
          <w:sz w:val="22"/>
          <w:szCs w:val="22"/>
        </w:rPr>
        <w:t xml:space="preserve">Secure Infrastructure as Code Policy (POL-SEC-004)</w:t>
      </w:r>
    </w:p>
    <w:p>
      <w:pPr>
        <w:pStyle w:val="ListParagraph"/>
        <w:numPr>
          <w:ilvl w:val="0"/>
          <w:numId w:val="2"/>
        </w:numPr>
        <w:spacing w:before="40" w:after="40"/>
      </w:pPr>
      <w:r>
        <w:rPr>
          <w:rFonts w:ascii="Arial" w:cs="Arial" w:eastAsia="Arial" w:hAnsi="Arial"/>
          <w:sz w:val="22"/>
          <w:szCs w:val="22"/>
        </w:rPr>
        <w:t xml:space="preserve">Secure System Design Standard (POL-SEC-010)</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2026-03-30T14:15:04.684Z</dcterms:created>
  <dcterms:modified xsi:type="dcterms:W3CDTF">2026-03-30T14:15:04.684Z</dcterms:modified>
</cp:coreProperties>
</file>

<file path=docProps/custom.xml><?xml version="1.0" encoding="utf-8"?>
<Properties xmlns="http://schemas.openxmlformats.org/officeDocument/2006/custom-properties" xmlns:vt="http://schemas.openxmlformats.org/officeDocument/2006/docPropsVTypes"/>
</file>