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Inject Response</w:t>
      </w:r>
    </w:p>
    <w:tbl>
      <w:tblPr>
        <w:tblStyle w:val="Table1"/>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280" w:hRule="atLeast"/>
        </w:trPr>
        <w:tc>
          <w:tcPr/>
          <w:p w:rsidR="00000000" w:rsidDel="00000000" w:rsidP="00000000" w:rsidRDefault="00000000" w:rsidRPr="00000000">
            <w:pPr>
              <w:pStyle w:val="Heading1"/>
              <w:contextualSpacing w:val="0"/>
              <w:rPr/>
            </w:pPr>
            <w:r w:rsidDel="00000000" w:rsidR="00000000" w:rsidRPr="00000000">
              <w:rPr>
                <w:rtl w:val="0"/>
              </w:rPr>
              <w:t xml:space="preserve">BLUE TEAM 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8640.0" w:type="dxa"/>
        <w:jc w:val="left"/>
        <w:tblInd w:w="0.0" w:type="pct"/>
        <w:tblBorders>
          <w:top w:color="a6a6a6" w:space="0" w:sz="4" w:val="single"/>
          <w:left w:color="000000" w:space="0" w:sz="0" w:val="nil"/>
          <w:bottom w:color="000000" w:space="0" w:sz="0" w:val="nil"/>
          <w:right w:color="000000" w:space="0" w:sz="0" w:val="nil"/>
          <w:insideH w:color="a6a6a6" w:space="0" w:sz="4" w:val="single"/>
          <w:insideV w:color="000000" w:space="0" w:sz="0" w:val="nil"/>
        </w:tblBorders>
        <w:tblLayout w:type="fixed"/>
        <w:tblLook w:val="0400"/>
      </w:tblPr>
      <w:tblGrid>
        <w:gridCol w:w="1104"/>
        <w:gridCol w:w="7536"/>
        <w:tblGridChange w:id="0">
          <w:tblGrid>
            <w:gridCol w:w="1104"/>
            <w:gridCol w:w="7536"/>
          </w:tblGrid>
        </w:tblGridChange>
      </w:tblGrid>
      <w:tr>
        <w:trPr>
          <w:trHeight w:val="20" w:hRule="atLeast"/>
        </w:trPr>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To:</w:t>
            </w:r>
          </w:p>
        </w:tc>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White Team</w:t>
            </w:r>
          </w:p>
        </w:tc>
      </w:tr>
      <w:tr>
        <w:trPr>
          <w:trHeight w:val="20" w:hRule="atLeast"/>
        </w:trPr>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From: </w:t>
            </w:r>
          </w:p>
        </w:tc>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Blue Team 1 Debian Admin</w:t>
            </w:r>
          </w:p>
        </w:tc>
      </w:tr>
      <w:tr>
        <w:trPr>
          <w:trHeight w:val="20" w:hRule="atLeast"/>
        </w:trPr>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r>
          </w:p>
        </w:tc>
      </w:tr>
      <w:tr>
        <w:trPr>
          <w:trHeight w:val="20" w:hRule="atLeast"/>
        </w:trPr>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r w:rsidDel="00000000" w:rsidR="00000000" w:rsidRPr="00000000">
              <w:rPr>
                <w:rtl w:val="0"/>
              </w:rPr>
              <w:t xml:space="preserve">Date:</w:t>
            </w:r>
          </w:p>
        </w:tc>
        <w:tc>
          <w:tcPr>
            <w:tcBorders>
              <w:top w:color="000000" w:space="0" w:sz="0" w:val="nil"/>
              <w:bottom w:color="000000" w:space="0" w:sz="0" w:val="nil"/>
            </w:tcBorders>
          </w:tcPr>
          <w:p w:rsidR="00000000" w:rsidDel="00000000" w:rsidP="00000000" w:rsidRDefault="00000000" w:rsidRPr="00000000">
            <w:pPr>
              <w:spacing w:after="120" w:line="259" w:lineRule="auto"/>
              <w:contextualSpacing w:val="0"/>
              <w:rPr/>
            </w:pPr>
            <w:bookmarkStart w:colFirst="0" w:colLast="0" w:name="_gjdgxs" w:id="0"/>
            <w:bookmarkEnd w:id="0"/>
            <w:r w:rsidDel="00000000" w:rsidR="00000000" w:rsidRPr="00000000">
              <w:rPr>
                <w:rtl w:val="0"/>
              </w:rPr>
              <w:t xml:space="preserve">2/11/2018</w:t>
            </w:r>
          </w:p>
        </w:tc>
      </w:tr>
      <w:tr>
        <w:tc>
          <w:tcPr>
            <w:tcBorders>
              <w:top w:color="000000" w:space="0" w:sz="0" w:val="nil"/>
              <w:bottom w:color="a6a6a6" w:space="0" w:sz="4" w:val="single"/>
            </w:tcBorders>
            <w:tcMar>
              <w:bottom w:w="576.0" w:type="dxa"/>
            </w:tcMar>
          </w:tcPr>
          <w:p w:rsidR="00000000" w:rsidDel="00000000" w:rsidP="00000000" w:rsidRDefault="00000000" w:rsidRPr="00000000">
            <w:pPr>
              <w:spacing w:after="120" w:line="259" w:lineRule="auto"/>
              <w:contextualSpacing w:val="0"/>
              <w:rPr/>
            </w:pPr>
            <w:r w:rsidDel="00000000" w:rsidR="00000000" w:rsidRPr="00000000">
              <w:rPr>
                <w:rtl w:val="0"/>
              </w:rPr>
              <w:t xml:space="preserve">Re:</w:t>
            </w:r>
          </w:p>
        </w:tc>
        <w:tc>
          <w:tcPr>
            <w:tcBorders>
              <w:top w:color="000000" w:space="0" w:sz="0" w:val="nil"/>
              <w:bottom w:color="a6a6a6" w:space="0" w:sz="4" w:val="single"/>
            </w:tcBorders>
            <w:tcMar>
              <w:bottom w:w="576.0" w:type="dxa"/>
            </w:tcMar>
          </w:tcPr>
          <w:p w:rsidR="00000000" w:rsidDel="00000000" w:rsidP="00000000" w:rsidRDefault="00000000" w:rsidRPr="00000000">
            <w:pPr>
              <w:spacing w:after="120" w:line="259" w:lineRule="auto"/>
              <w:contextualSpacing w:val="0"/>
              <w:rPr/>
            </w:pPr>
            <w:r w:rsidDel="00000000" w:rsidR="00000000" w:rsidRPr="00000000">
              <w:rPr>
                <w:rtl w:val="0"/>
              </w:rPr>
              <w:t xml:space="preserve">Inject #29</w:t>
            </w:r>
          </w:p>
        </w:tc>
      </w:tr>
      <w:tr>
        <w:trPr>
          <w:trHeight w:val="280" w:hRule="atLeast"/>
        </w:trPr>
        <w:tc>
          <w:tcPr>
            <w:tcBorders>
              <w:top w:color="a6a6a6" w:space="0" w:sz="4" w:val="single"/>
            </w:tcBorders>
            <w:tcMar>
              <w:top w:w="144.0" w:type="dxa"/>
            </w:tcMar>
          </w:tcPr>
          <w:p w:rsidR="00000000" w:rsidDel="00000000" w:rsidP="00000000" w:rsidRDefault="00000000" w:rsidRPr="00000000">
            <w:pPr>
              <w:spacing w:after="120" w:line="259" w:lineRule="auto"/>
              <w:contextualSpacing w:val="0"/>
              <w:rPr/>
            </w:pPr>
            <w:r w:rsidDel="00000000" w:rsidR="00000000" w:rsidRPr="00000000">
              <w:rPr>
                <w:rtl w:val="0"/>
              </w:rPr>
              <w:t xml:space="preserve">Comments:</w:t>
            </w:r>
          </w:p>
        </w:tc>
        <w:tc>
          <w:tcPr>
            <w:tcBorders>
              <w:top w:color="a6a6a6" w:space="0" w:sz="4" w:val="single"/>
            </w:tcBorders>
            <w:tcMar>
              <w:top w:w="144.0" w:type="dxa"/>
            </w:tcMar>
          </w:tcPr>
          <w:p w:rsidR="00000000" w:rsidDel="00000000" w:rsidP="00000000" w:rsidRDefault="00000000" w:rsidRPr="00000000">
            <w:pPr>
              <w:spacing w:after="120" w:line="259" w:lineRule="auto"/>
              <w:contextualSpacing w:val="0"/>
              <w:rPr/>
            </w:pPr>
            <w:r w:rsidDel="00000000" w:rsidR="00000000" w:rsidRPr="00000000">
              <w:rPr>
                <w:rtl w:val="0"/>
              </w:rPr>
              <w:t xml:space="preserve">For this inject I set up SSL certification for Squirrelmail and had it NATed to the WAN. To connect from the outside use the address </w:t>
            </w:r>
            <w:hyperlink r:id="rId6">
              <w:r w:rsidDel="00000000" w:rsidR="00000000" w:rsidRPr="00000000">
                <w:rPr>
                  <w:color w:val="1155cc"/>
                  <w:u w:val="single"/>
                  <w:rtl w:val="0"/>
                </w:rPr>
                <w:t xml:space="preserve">https://10.254.0.72:443</w:t>
              </w:r>
            </w:hyperlink>
            <w:r w:rsidDel="00000000" w:rsidR="00000000" w:rsidRPr="00000000">
              <w:rPr>
                <w:rtl w:val="0"/>
              </w:rPr>
              <w:t xml:space="preserve"> From there use your admin provided login and password to connect to your webmail. Your browser may warn you that it isn’t safe, this isn’t the case, however the notification is there to warn you that the certificate has not been issued by a well known certificate authority. </w:t>
            </w:r>
          </w:p>
        </w:tc>
      </w:tr>
    </w:tbl>
    <w:p w:rsidR="00000000" w:rsidDel="00000000" w:rsidP="00000000" w:rsidRDefault="00000000" w:rsidRPr="00000000">
      <w:pPr>
        <w:contextualSpacing w:val="0"/>
        <w:rPr/>
      </w:pPr>
      <w:r w:rsidDel="00000000" w:rsidR="00000000" w:rsidRPr="00000000">
        <w:rPr>
          <w:rtl w:val="0"/>
        </w:rPr>
      </w:r>
    </w:p>
    <w:sectPr>
      <w:footerReference r:id="rId7" w:type="default"/>
      <w:pgSz w:h="15840" w:w="12240"/>
      <w:pgMar w:bottom="1440" w:top="72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18"/>
        <w:szCs w:val="1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Rule="auto"/>
      <w:contextualSpacing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00" w:line="360" w:lineRule="auto"/>
      <w:ind w:left="-86" w:firstLine="0"/>
      <w:contextualSpacing w:val="1"/>
    </w:pPr>
    <w:rPr>
      <w:color w:val="595959"/>
      <w:sz w:val="96"/>
      <w:szCs w:val="9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0.254.0.72:443"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