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A2F6" w14:textId="77777777" w:rsidR="00E039B8" w:rsidRDefault="002C1D73" w:rsidP="00E039B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b/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7E64EE90" w:rsidR="004E6898" w:rsidRPr="00B272D7" w:rsidRDefault="004E6898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7E64EE90" w:rsidR="004E6898" w:rsidRPr="00B272D7" w:rsidRDefault="004E6898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39B8">
        <w:rPr>
          <w:b/>
          <w:color w:val="37434C"/>
          <w:sz w:val="44"/>
          <w:szCs w:val="44"/>
        </w:rPr>
        <w:t xml:space="preserve">Blue Team X </w:t>
      </w:r>
    </w:p>
    <w:p w14:paraId="08CB68A5" w14:textId="5428B5CF" w:rsidR="00733481" w:rsidRPr="00E039B8" w:rsidRDefault="00EC4A28" w:rsidP="00E039B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Pr="003A4738">
        <w:rPr>
          <w:b/>
          <w:color w:val="37434C"/>
          <w:sz w:val="44"/>
          <w:szCs w:val="44"/>
        </w:rPr>
        <w:t xml:space="preserve">     </w:t>
      </w:r>
    </w:p>
    <w:p w14:paraId="7E7A2933" w14:textId="34BA9751" w:rsidR="00733481" w:rsidRPr="00164651" w:rsidRDefault="00C314BB" w:rsidP="003A4738">
      <w:pPr>
        <w:pStyle w:val="Heading3"/>
        <w:spacing w:before="80" w:line="276" w:lineRule="auto"/>
        <w:rPr>
          <w:b/>
          <w:szCs w:val="32"/>
        </w:rPr>
      </w:pPr>
      <w:r>
        <w:rPr>
          <w:b/>
          <w:szCs w:val="32"/>
        </w:rPr>
        <w:t>Audit Vulnerability Scanning Policy</w:t>
      </w:r>
    </w:p>
    <w:p w14:paraId="59FD1ACE" w14:textId="5C2D9C64" w:rsidR="002C1D73" w:rsidRPr="00E039B8" w:rsidRDefault="00164651" w:rsidP="00E039B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  <w:r w:rsidR="002C1D73"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9B68D7">
        <w:rPr>
          <w:sz w:val="24"/>
          <w:szCs w:val="24"/>
        </w:rPr>
        <w:t>1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570C91A5" w14:textId="157DCE92" w:rsidR="0054721F" w:rsidRPr="00367193" w:rsidRDefault="003A4738" w:rsidP="00602D10">
      <w:pPr>
        <w:spacing w:line="276" w:lineRule="auto"/>
        <w:rPr>
          <w:rFonts w:cs="Arial"/>
        </w:rPr>
      </w:pPr>
      <w:r w:rsidRPr="00367193">
        <w:rPr>
          <w:rFonts w:cs="Arial"/>
          <w:b/>
        </w:rPr>
        <w:t>Policy</w:t>
      </w:r>
      <w:r w:rsidR="00A02EF1" w:rsidRPr="00367193">
        <w:rPr>
          <w:rFonts w:cs="Arial"/>
          <w:b/>
        </w:rPr>
        <w:t>:</w:t>
      </w:r>
      <w:r w:rsidR="00030ABC" w:rsidRPr="00367193">
        <w:rPr>
          <w:rFonts w:cs="Arial"/>
        </w:rPr>
        <w:t xml:space="preserve"> </w:t>
      </w:r>
      <w:r w:rsidR="00273465">
        <w:rPr>
          <w:rFonts w:cs="Arial"/>
        </w:rPr>
        <w:t xml:space="preserve">Vulnerability management is an essential component of Blue Team’s information security program and the process of vulnerability assessment is </w:t>
      </w:r>
      <w:proofErr w:type="spellStart"/>
      <w:r w:rsidR="00273465">
        <w:rPr>
          <w:rFonts w:cs="Arial"/>
        </w:rPr>
        <w:t>vittal</w:t>
      </w:r>
      <w:proofErr w:type="spellEnd"/>
      <w:r w:rsidR="00273465">
        <w:rPr>
          <w:rFonts w:cs="Arial"/>
        </w:rPr>
        <w:t xml:space="preserve"> to operational vulnerability management.  This policy lays out the procedures for vulnerability assessment to determine the threats and potential vulnerabilities.  </w:t>
      </w:r>
    </w:p>
    <w:p w14:paraId="7A76930C" w14:textId="77777777" w:rsidR="0054721F" w:rsidRPr="00367193" w:rsidRDefault="0054721F">
      <w:pPr>
        <w:rPr>
          <w:rFonts w:cs="Arial"/>
        </w:rPr>
      </w:pPr>
    </w:p>
    <w:p w14:paraId="05D30705" w14:textId="13CDA063" w:rsidR="004E7DE2" w:rsidRPr="00005B78" w:rsidRDefault="00273465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Purpose</w:t>
      </w:r>
      <w:r w:rsidR="0054721F" w:rsidRPr="00367193">
        <w:rPr>
          <w:rFonts w:cs="Arial"/>
          <w:b/>
        </w:rPr>
        <w:t>:</w:t>
      </w:r>
      <w:r w:rsidR="00E768B4" w:rsidRPr="00367193">
        <w:rPr>
          <w:rFonts w:cs="Arial"/>
          <w:b/>
        </w:rPr>
        <w:t xml:space="preserve"> </w:t>
      </w:r>
      <w:r w:rsidR="000276DC">
        <w:rPr>
          <w:rFonts w:cs="Arial"/>
        </w:rPr>
        <w:t xml:space="preserve">To authorize personnel of Blue Team to perform information security vulnerability assessment </w:t>
      </w:r>
      <w:proofErr w:type="gramStart"/>
      <w:r w:rsidR="000276DC">
        <w:rPr>
          <w:rFonts w:cs="Arial"/>
        </w:rPr>
        <w:t>for the purpose of</w:t>
      </w:r>
      <w:proofErr w:type="gramEnd"/>
      <w:r w:rsidR="000276DC">
        <w:rPr>
          <w:rFonts w:cs="Arial"/>
        </w:rPr>
        <w:t xml:space="preserve"> determining areas of vulnerabilities.  </w:t>
      </w:r>
      <w:r w:rsidR="0010051A">
        <w:rPr>
          <w:rFonts w:cs="Arial"/>
        </w:rPr>
        <w:t xml:space="preserve"> </w:t>
      </w:r>
    </w:p>
    <w:p w14:paraId="247D2D19" w14:textId="77777777" w:rsidR="00A02EF1" w:rsidRPr="00005B78" w:rsidRDefault="00A02EF1">
      <w:pPr>
        <w:rPr>
          <w:rFonts w:cs="Arial"/>
        </w:rPr>
      </w:pPr>
    </w:p>
    <w:p w14:paraId="5B5E2D4F" w14:textId="5287418C" w:rsidR="00A02EF1" w:rsidRDefault="006D0A8A" w:rsidP="0010051A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</w:p>
    <w:p w14:paraId="29EA6F74" w14:textId="1594D487" w:rsidR="0010051A" w:rsidRDefault="0010051A" w:rsidP="0010051A">
      <w:pPr>
        <w:spacing w:line="276" w:lineRule="auto"/>
        <w:rPr>
          <w:rFonts w:cs="Arial"/>
        </w:rPr>
      </w:pPr>
    </w:p>
    <w:p w14:paraId="09AA0E19" w14:textId="5D5081A9" w:rsidR="0010051A" w:rsidRDefault="009A315B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 xml:space="preserve">The development, implementation and execution of vulnerability assessment process is the responsibility of the Blue Team Captain (BTC). </w:t>
      </w:r>
    </w:p>
    <w:p w14:paraId="7F93B077" w14:textId="100E134E" w:rsidR="0010051A" w:rsidRDefault="0048703D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 xml:space="preserve">Periodic vulnerability assessments scans will be performed on all network </w:t>
      </w:r>
      <w:proofErr w:type="spellStart"/>
      <w:r>
        <w:rPr>
          <w:rFonts w:cs="Arial"/>
        </w:rPr>
        <w:t>equiptment</w:t>
      </w:r>
      <w:proofErr w:type="spellEnd"/>
      <w:r>
        <w:rPr>
          <w:rFonts w:cs="Arial"/>
        </w:rPr>
        <w:t xml:space="preserve"> deployed on Blue Team IP address space.</w:t>
      </w:r>
    </w:p>
    <w:p w14:paraId="7CE9A78A" w14:textId="278F94CC" w:rsidR="0010051A" w:rsidRDefault="0048703D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>Vulnerability tools that maybe used to assess are open source tools (</w:t>
      </w:r>
      <w:proofErr w:type="spellStart"/>
      <w:r>
        <w:rPr>
          <w:rFonts w:cs="Arial"/>
        </w:rPr>
        <w:t>OpenVas</w:t>
      </w:r>
      <w:proofErr w:type="spellEnd"/>
      <w:r>
        <w:rPr>
          <w:rFonts w:cs="Arial"/>
        </w:rPr>
        <w:t xml:space="preserve">, Microsoft Baseline Security Analyzer, </w:t>
      </w:r>
      <w:proofErr w:type="spellStart"/>
      <w:r>
        <w:rPr>
          <w:rFonts w:cs="Arial"/>
        </w:rPr>
        <w:t>ect</w:t>
      </w:r>
      <w:proofErr w:type="spellEnd"/>
      <w:r>
        <w:rPr>
          <w:rFonts w:cs="Arial"/>
        </w:rPr>
        <w:t xml:space="preserve">…) and must be approved by BTC.  This </w:t>
      </w:r>
      <w:proofErr w:type="spellStart"/>
      <w:r>
        <w:rPr>
          <w:rFonts w:cs="Arial"/>
        </w:rPr>
        <w:t>approvel</w:t>
      </w:r>
      <w:proofErr w:type="spellEnd"/>
      <w:r>
        <w:rPr>
          <w:rFonts w:cs="Arial"/>
        </w:rPr>
        <w:t xml:space="preserve"> can come in the form of </w:t>
      </w:r>
      <w:proofErr w:type="spellStart"/>
      <w:r>
        <w:rPr>
          <w:rFonts w:cs="Arial"/>
        </w:rPr>
        <w:t>verble</w:t>
      </w:r>
      <w:proofErr w:type="spellEnd"/>
      <w:r>
        <w:rPr>
          <w:rFonts w:cs="Arial"/>
        </w:rPr>
        <w:t xml:space="preserve"> or written.</w:t>
      </w:r>
    </w:p>
    <w:p w14:paraId="12657EF3" w14:textId="063ABA7D" w:rsidR="00733481" w:rsidRPr="0048703D" w:rsidRDefault="0048703D" w:rsidP="008A377C">
      <w:pPr>
        <w:pStyle w:val="ListParagraph"/>
        <w:numPr>
          <w:ilvl w:val="0"/>
          <w:numId w:val="7"/>
        </w:numPr>
        <w:spacing w:line="276" w:lineRule="auto"/>
        <w:rPr>
          <w:sz w:val="22"/>
        </w:rPr>
      </w:pPr>
      <w:r w:rsidRPr="0048703D">
        <w:rPr>
          <w:rFonts w:cs="Arial"/>
        </w:rPr>
        <w:t xml:space="preserve">Blue Team personnel are expected to fully cooperate with any vulnerability </w:t>
      </w:r>
      <w:r>
        <w:rPr>
          <w:rFonts w:cs="Arial"/>
        </w:rPr>
        <w:t xml:space="preserve">assessment being conducted on systems for which they are held accountable.  </w:t>
      </w:r>
    </w:p>
    <w:p w14:paraId="1610FC3E" w14:textId="37799FFA" w:rsidR="0048703D" w:rsidRPr="00F96F5F" w:rsidRDefault="0048703D" w:rsidP="008A377C">
      <w:pPr>
        <w:pStyle w:val="ListParagraph"/>
        <w:numPr>
          <w:ilvl w:val="0"/>
          <w:numId w:val="7"/>
        </w:numPr>
        <w:spacing w:line="276" w:lineRule="auto"/>
        <w:rPr>
          <w:sz w:val="22"/>
        </w:rPr>
      </w:pPr>
      <w:r>
        <w:rPr>
          <w:rFonts w:cs="Arial"/>
        </w:rPr>
        <w:t xml:space="preserve">Any vulnerability scans or penetration testing performed outside </w:t>
      </w:r>
      <w:r w:rsidR="00F96F5F">
        <w:rPr>
          <w:rFonts w:cs="Arial"/>
        </w:rPr>
        <w:t xml:space="preserve">the network of Blue Team’s IP address space, must have the approval of the BTC in writing.  A simple memorandum of </w:t>
      </w:r>
      <w:proofErr w:type="spellStart"/>
      <w:r w:rsidR="00F96F5F">
        <w:rPr>
          <w:rFonts w:cs="Arial"/>
        </w:rPr>
        <w:t>approvel</w:t>
      </w:r>
      <w:proofErr w:type="spellEnd"/>
      <w:r w:rsidR="00F96F5F">
        <w:rPr>
          <w:rFonts w:cs="Arial"/>
        </w:rPr>
        <w:t xml:space="preserve"> will meet the requirements of this action.</w:t>
      </w:r>
    </w:p>
    <w:p w14:paraId="4FFB17EE" w14:textId="5E25D4E7" w:rsidR="00F96F5F" w:rsidRPr="00B07FFA" w:rsidRDefault="00F96F5F" w:rsidP="008A377C">
      <w:pPr>
        <w:pStyle w:val="ListParagraph"/>
        <w:numPr>
          <w:ilvl w:val="0"/>
          <w:numId w:val="7"/>
        </w:numPr>
        <w:spacing w:line="276" w:lineRule="auto"/>
        <w:rPr>
          <w:sz w:val="22"/>
        </w:rPr>
      </w:pPr>
      <w:r>
        <w:rPr>
          <w:rFonts w:cs="Arial"/>
        </w:rPr>
        <w:t xml:space="preserve">All </w:t>
      </w:r>
      <w:proofErr w:type="gramStart"/>
      <w:r>
        <w:rPr>
          <w:rFonts w:cs="Arial"/>
        </w:rPr>
        <w:t>third party</w:t>
      </w:r>
      <w:proofErr w:type="gramEnd"/>
      <w:r>
        <w:rPr>
          <w:rFonts w:cs="Arial"/>
        </w:rPr>
        <w:t xml:space="preserve"> security companies, organizations, panels, boards or individuals that want to run external vulnerability scans must </w:t>
      </w:r>
      <w:proofErr w:type="spellStart"/>
      <w:r>
        <w:rPr>
          <w:rFonts w:cs="Arial"/>
        </w:rPr>
        <w:t>summit</w:t>
      </w:r>
      <w:proofErr w:type="spellEnd"/>
      <w:r>
        <w:rPr>
          <w:rFonts w:cs="Arial"/>
        </w:rPr>
        <w:t xml:space="preserve"> their request in writing to the BTC.  The BTC is then required to approve the request.  </w:t>
      </w:r>
      <w:proofErr w:type="spellStart"/>
      <w:r>
        <w:rPr>
          <w:rFonts w:cs="Arial"/>
        </w:rPr>
        <w:t>Approvel</w:t>
      </w:r>
      <w:proofErr w:type="spellEnd"/>
      <w:r>
        <w:rPr>
          <w:rFonts w:cs="Arial"/>
        </w:rPr>
        <w:t xml:space="preserve"> can be the BTC writing approved on the request, print, date, and sign at the bottom of the request.  </w:t>
      </w:r>
    </w:p>
    <w:p w14:paraId="6C658FAF" w14:textId="09546D3C" w:rsidR="00B07FFA" w:rsidRPr="00B07FFA" w:rsidRDefault="00B07FFA" w:rsidP="008A377C">
      <w:pPr>
        <w:pStyle w:val="ListParagraph"/>
        <w:numPr>
          <w:ilvl w:val="0"/>
          <w:numId w:val="7"/>
        </w:numPr>
        <w:spacing w:line="276" w:lineRule="auto"/>
        <w:rPr>
          <w:sz w:val="22"/>
        </w:rPr>
      </w:pPr>
      <w:r>
        <w:rPr>
          <w:rFonts w:cs="Arial"/>
        </w:rPr>
        <w:t xml:space="preserve">This policy provides the authority for </w:t>
      </w:r>
      <w:r w:rsidR="00AF6DA7">
        <w:rPr>
          <w:rFonts w:cs="Arial"/>
        </w:rPr>
        <w:t xml:space="preserve">Blue Team’s </w:t>
      </w:r>
      <w:bookmarkStart w:id="0" w:name="_GoBack"/>
      <w:bookmarkEnd w:id="0"/>
      <w:r>
        <w:rPr>
          <w:rFonts w:cs="Arial"/>
        </w:rPr>
        <w:t xml:space="preserve">Information Security Team to conduct scans, audits, and risk assessments to ensure the integrity of information/resources, to investigate incidents, to ensure conformance to security policies, or to monitor user/system activity where appropriate.  </w:t>
      </w:r>
    </w:p>
    <w:p w14:paraId="07822EA3" w14:textId="44A8FD18" w:rsidR="00B07FFA" w:rsidRDefault="00B07FFA" w:rsidP="00B07FFA">
      <w:pPr>
        <w:spacing w:line="276" w:lineRule="auto"/>
        <w:ind w:left="360"/>
        <w:rPr>
          <w:sz w:val="22"/>
        </w:rPr>
      </w:pPr>
    </w:p>
    <w:p w14:paraId="2202600E" w14:textId="436FAFE0" w:rsidR="00B07FFA" w:rsidRDefault="00B07FFA" w:rsidP="00B07FFA">
      <w:pPr>
        <w:spacing w:line="276" w:lineRule="auto"/>
        <w:ind w:left="360"/>
        <w:rPr>
          <w:b/>
        </w:rPr>
      </w:pPr>
      <w:r w:rsidRPr="00B07FFA">
        <w:rPr>
          <w:b/>
        </w:rPr>
        <w:t>Revision History</w:t>
      </w:r>
    </w:p>
    <w:p w14:paraId="2EBAF4B3" w14:textId="48D080CE" w:rsidR="00B07FFA" w:rsidRDefault="00B07FFA" w:rsidP="00B07FFA">
      <w:pPr>
        <w:spacing w:line="276" w:lineRule="auto"/>
        <w:ind w:left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2430"/>
        <w:gridCol w:w="2700"/>
        <w:gridCol w:w="3865"/>
      </w:tblGrid>
      <w:tr w:rsidR="00B07FFA" w14:paraId="57F7AB0C" w14:textId="77777777" w:rsidTr="00B07FFA">
        <w:tc>
          <w:tcPr>
            <w:tcW w:w="1435" w:type="dxa"/>
            <w:shd w:val="clear" w:color="auto" w:fill="DDD9C3" w:themeFill="background2" w:themeFillShade="E6"/>
          </w:tcPr>
          <w:p w14:paraId="5E7EDBCC" w14:textId="6BED2199" w:rsidR="00B07FFA" w:rsidRDefault="00B07FFA" w:rsidP="00B07F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30" w:type="dxa"/>
            <w:shd w:val="clear" w:color="auto" w:fill="DDD9C3" w:themeFill="background2" w:themeFillShade="E6"/>
          </w:tcPr>
          <w:p w14:paraId="43C318C5" w14:textId="3EE83A68" w:rsidR="00B07FFA" w:rsidRDefault="00B07FFA" w:rsidP="00B07F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Date of</w:t>
            </w:r>
          </w:p>
        </w:tc>
        <w:tc>
          <w:tcPr>
            <w:tcW w:w="2700" w:type="dxa"/>
            <w:shd w:val="clear" w:color="auto" w:fill="DDD9C3" w:themeFill="background2" w:themeFillShade="E6"/>
          </w:tcPr>
          <w:p w14:paraId="2E9A1A7B" w14:textId="04ED94C8" w:rsidR="00B07FFA" w:rsidRDefault="00B07FFA" w:rsidP="00B07F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865" w:type="dxa"/>
            <w:shd w:val="clear" w:color="auto" w:fill="DDD9C3" w:themeFill="background2" w:themeFillShade="E6"/>
          </w:tcPr>
          <w:p w14:paraId="68F69D26" w14:textId="097E4689" w:rsidR="00B07FFA" w:rsidRDefault="00B07FFA" w:rsidP="00B07F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B07FFA" w14:paraId="1B4FE2C9" w14:textId="77777777" w:rsidTr="00B07FFA">
        <w:tc>
          <w:tcPr>
            <w:tcW w:w="1435" w:type="dxa"/>
          </w:tcPr>
          <w:p w14:paraId="5369C8F2" w14:textId="77777777" w:rsidR="00B07FFA" w:rsidRDefault="00B07FFA" w:rsidP="00B07FFA">
            <w:pPr>
              <w:spacing w:line="276" w:lineRule="auto"/>
              <w:rPr>
                <w:b/>
              </w:rPr>
            </w:pPr>
          </w:p>
        </w:tc>
        <w:tc>
          <w:tcPr>
            <w:tcW w:w="2430" w:type="dxa"/>
          </w:tcPr>
          <w:p w14:paraId="1C4EC0BC" w14:textId="77777777" w:rsidR="00B07FFA" w:rsidRDefault="00B07FFA" w:rsidP="00B07FFA">
            <w:pPr>
              <w:spacing w:line="276" w:lineRule="auto"/>
              <w:rPr>
                <w:b/>
              </w:rPr>
            </w:pPr>
          </w:p>
        </w:tc>
        <w:tc>
          <w:tcPr>
            <w:tcW w:w="2700" w:type="dxa"/>
          </w:tcPr>
          <w:p w14:paraId="1444B774" w14:textId="77777777" w:rsidR="00B07FFA" w:rsidRDefault="00B07FFA" w:rsidP="00B07FFA">
            <w:pPr>
              <w:spacing w:line="276" w:lineRule="auto"/>
              <w:rPr>
                <w:b/>
              </w:rPr>
            </w:pPr>
          </w:p>
        </w:tc>
        <w:tc>
          <w:tcPr>
            <w:tcW w:w="3865" w:type="dxa"/>
          </w:tcPr>
          <w:p w14:paraId="2B3E97BC" w14:textId="77777777" w:rsidR="00B07FFA" w:rsidRDefault="00B07FFA" w:rsidP="00B07FFA">
            <w:pPr>
              <w:spacing w:line="276" w:lineRule="auto"/>
              <w:rPr>
                <w:b/>
              </w:rPr>
            </w:pPr>
          </w:p>
        </w:tc>
      </w:tr>
      <w:tr w:rsidR="00B07FFA" w14:paraId="7138D659" w14:textId="77777777" w:rsidTr="00B07FFA">
        <w:tc>
          <w:tcPr>
            <w:tcW w:w="1435" w:type="dxa"/>
          </w:tcPr>
          <w:p w14:paraId="62BC0A8A" w14:textId="77777777" w:rsidR="00B07FFA" w:rsidRDefault="00B07FFA" w:rsidP="00B07FFA">
            <w:pPr>
              <w:spacing w:line="276" w:lineRule="auto"/>
              <w:rPr>
                <w:b/>
              </w:rPr>
            </w:pPr>
          </w:p>
        </w:tc>
        <w:tc>
          <w:tcPr>
            <w:tcW w:w="2430" w:type="dxa"/>
          </w:tcPr>
          <w:p w14:paraId="62ED41F2" w14:textId="77777777" w:rsidR="00B07FFA" w:rsidRDefault="00B07FFA" w:rsidP="00B07FFA">
            <w:pPr>
              <w:spacing w:line="276" w:lineRule="auto"/>
              <w:rPr>
                <w:b/>
              </w:rPr>
            </w:pPr>
          </w:p>
        </w:tc>
        <w:tc>
          <w:tcPr>
            <w:tcW w:w="2700" w:type="dxa"/>
          </w:tcPr>
          <w:p w14:paraId="4307DDBF" w14:textId="77777777" w:rsidR="00B07FFA" w:rsidRDefault="00B07FFA" w:rsidP="00B07FFA">
            <w:pPr>
              <w:spacing w:line="276" w:lineRule="auto"/>
              <w:rPr>
                <w:b/>
              </w:rPr>
            </w:pPr>
          </w:p>
        </w:tc>
        <w:tc>
          <w:tcPr>
            <w:tcW w:w="3865" w:type="dxa"/>
          </w:tcPr>
          <w:p w14:paraId="1FD2B364" w14:textId="77777777" w:rsidR="00B07FFA" w:rsidRDefault="00B07FFA" w:rsidP="00B07FFA">
            <w:pPr>
              <w:spacing w:line="276" w:lineRule="auto"/>
              <w:rPr>
                <w:b/>
              </w:rPr>
            </w:pPr>
          </w:p>
        </w:tc>
      </w:tr>
    </w:tbl>
    <w:p w14:paraId="01EA3801" w14:textId="77777777" w:rsidR="00B07FFA" w:rsidRPr="00B07FFA" w:rsidRDefault="00B07FFA" w:rsidP="00B07FFA">
      <w:pPr>
        <w:spacing w:line="276" w:lineRule="auto"/>
        <w:ind w:left="360"/>
        <w:rPr>
          <w:b/>
        </w:rPr>
      </w:pPr>
    </w:p>
    <w:sectPr w:rsidR="00B07FFA" w:rsidRPr="00B07FFA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D831C" w14:textId="77777777" w:rsidR="00995221" w:rsidRDefault="00995221">
      <w:r>
        <w:separator/>
      </w:r>
    </w:p>
  </w:endnote>
  <w:endnote w:type="continuationSeparator" w:id="0">
    <w:p w14:paraId="15221720" w14:textId="77777777" w:rsidR="00995221" w:rsidRDefault="0099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A88A" w14:textId="5E28E85F" w:rsidR="004E6898" w:rsidRPr="00A02EF1" w:rsidRDefault="004E6898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AF6DA7">
      <w:rPr>
        <w:rStyle w:val="PageNumber"/>
        <w:rFonts w:cs="Arial"/>
        <w:i w:val="0"/>
        <w:noProof/>
        <w:snapToGrid w:val="0"/>
        <w:sz w:val="16"/>
        <w:szCs w:val="16"/>
      </w:rPr>
      <w:t>1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AF6DA7">
      <w:rPr>
        <w:rStyle w:val="PageNumber"/>
        <w:rFonts w:cs="Arial"/>
        <w:i w:val="0"/>
        <w:noProof/>
        <w:snapToGrid w:val="0"/>
        <w:sz w:val="16"/>
        <w:szCs w:val="16"/>
      </w:rPr>
      <w:t>1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E89B6" w14:textId="77777777" w:rsidR="00995221" w:rsidRDefault="00995221">
      <w:r>
        <w:separator/>
      </w:r>
    </w:p>
  </w:footnote>
  <w:footnote w:type="continuationSeparator" w:id="0">
    <w:p w14:paraId="25BBB5F4" w14:textId="77777777" w:rsidR="00995221" w:rsidRDefault="00995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64F"/>
    <w:multiLevelType w:val="hybridMultilevel"/>
    <w:tmpl w:val="4C7A6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18AC"/>
    <w:multiLevelType w:val="hybridMultilevel"/>
    <w:tmpl w:val="81F0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C1474"/>
    <w:multiLevelType w:val="hybridMultilevel"/>
    <w:tmpl w:val="9C6A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025C5"/>
    <w:rsid w:val="00005B78"/>
    <w:rsid w:val="00014DE6"/>
    <w:rsid w:val="00014E8B"/>
    <w:rsid w:val="0002420B"/>
    <w:rsid w:val="00026614"/>
    <w:rsid w:val="000276DC"/>
    <w:rsid w:val="00030ABC"/>
    <w:rsid w:val="00036E13"/>
    <w:rsid w:val="000472F1"/>
    <w:rsid w:val="00067A17"/>
    <w:rsid w:val="000A028E"/>
    <w:rsid w:val="000A663E"/>
    <w:rsid w:val="000C330B"/>
    <w:rsid w:val="000D25C5"/>
    <w:rsid w:val="000D6CEE"/>
    <w:rsid w:val="0010051A"/>
    <w:rsid w:val="00105DEA"/>
    <w:rsid w:val="00111816"/>
    <w:rsid w:val="001146BA"/>
    <w:rsid w:val="00133664"/>
    <w:rsid w:val="00150845"/>
    <w:rsid w:val="00152D23"/>
    <w:rsid w:val="00164651"/>
    <w:rsid w:val="00165169"/>
    <w:rsid w:val="00182881"/>
    <w:rsid w:val="0018318A"/>
    <w:rsid w:val="001A543A"/>
    <w:rsid w:val="001A568E"/>
    <w:rsid w:val="001D73FF"/>
    <w:rsid w:val="001E6D9E"/>
    <w:rsid w:val="001E744A"/>
    <w:rsid w:val="001F1721"/>
    <w:rsid w:val="002006E1"/>
    <w:rsid w:val="002048E0"/>
    <w:rsid w:val="00204EEB"/>
    <w:rsid w:val="00211546"/>
    <w:rsid w:val="002144B2"/>
    <w:rsid w:val="00237170"/>
    <w:rsid w:val="00273465"/>
    <w:rsid w:val="0028332A"/>
    <w:rsid w:val="0028715C"/>
    <w:rsid w:val="002959ED"/>
    <w:rsid w:val="002A5267"/>
    <w:rsid w:val="002B3B3A"/>
    <w:rsid w:val="002C1D73"/>
    <w:rsid w:val="00300B01"/>
    <w:rsid w:val="003257D7"/>
    <w:rsid w:val="00326B58"/>
    <w:rsid w:val="00340D85"/>
    <w:rsid w:val="003466F1"/>
    <w:rsid w:val="003522E6"/>
    <w:rsid w:val="00364409"/>
    <w:rsid w:val="00367193"/>
    <w:rsid w:val="003868D0"/>
    <w:rsid w:val="00394B7A"/>
    <w:rsid w:val="003A36C8"/>
    <w:rsid w:val="003A4738"/>
    <w:rsid w:val="003A5828"/>
    <w:rsid w:val="003B02F7"/>
    <w:rsid w:val="004125D9"/>
    <w:rsid w:val="00415C9C"/>
    <w:rsid w:val="00454502"/>
    <w:rsid w:val="0046343D"/>
    <w:rsid w:val="00466E1B"/>
    <w:rsid w:val="00481851"/>
    <w:rsid w:val="0048703D"/>
    <w:rsid w:val="004D3A43"/>
    <w:rsid w:val="004E6898"/>
    <w:rsid w:val="004E7DE2"/>
    <w:rsid w:val="005312A2"/>
    <w:rsid w:val="0054721F"/>
    <w:rsid w:val="00567FF7"/>
    <w:rsid w:val="00571019"/>
    <w:rsid w:val="005808DF"/>
    <w:rsid w:val="00584643"/>
    <w:rsid w:val="005B7D1F"/>
    <w:rsid w:val="005C0D7F"/>
    <w:rsid w:val="005D3A85"/>
    <w:rsid w:val="005D5A78"/>
    <w:rsid w:val="005E3A86"/>
    <w:rsid w:val="005F7952"/>
    <w:rsid w:val="00602D10"/>
    <w:rsid w:val="006120A5"/>
    <w:rsid w:val="00612AF3"/>
    <w:rsid w:val="0063585F"/>
    <w:rsid w:val="006431AF"/>
    <w:rsid w:val="0065743E"/>
    <w:rsid w:val="00657E2C"/>
    <w:rsid w:val="00667A83"/>
    <w:rsid w:val="0067082C"/>
    <w:rsid w:val="00686D59"/>
    <w:rsid w:val="006900D7"/>
    <w:rsid w:val="0069094E"/>
    <w:rsid w:val="006D0A8A"/>
    <w:rsid w:val="006D346C"/>
    <w:rsid w:val="006F4F9E"/>
    <w:rsid w:val="006F7C89"/>
    <w:rsid w:val="00723D3A"/>
    <w:rsid w:val="00733481"/>
    <w:rsid w:val="00734D07"/>
    <w:rsid w:val="00735247"/>
    <w:rsid w:val="0074401D"/>
    <w:rsid w:val="00755180"/>
    <w:rsid w:val="00763A04"/>
    <w:rsid w:val="00792A2D"/>
    <w:rsid w:val="007946AF"/>
    <w:rsid w:val="007C7054"/>
    <w:rsid w:val="007F0219"/>
    <w:rsid w:val="00815EE2"/>
    <w:rsid w:val="00824336"/>
    <w:rsid w:val="00834194"/>
    <w:rsid w:val="00872BDC"/>
    <w:rsid w:val="00872D56"/>
    <w:rsid w:val="00884DA3"/>
    <w:rsid w:val="00887562"/>
    <w:rsid w:val="008A534E"/>
    <w:rsid w:val="008A6B8A"/>
    <w:rsid w:val="008B7231"/>
    <w:rsid w:val="008C5212"/>
    <w:rsid w:val="008D0395"/>
    <w:rsid w:val="008E572F"/>
    <w:rsid w:val="00920667"/>
    <w:rsid w:val="00931A1C"/>
    <w:rsid w:val="0093418E"/>
    <w:rsid w:val="00935AA9"/>
    <w:rsid w:val="009516B7"/>
    <w:rsid w:val="009541BA"/>
    <w:rsid w:val="00995221"/>
    <w:rsid w:val="009A315B"/>
    <w:rsid w:val="009B68D7"/>
    <w:rsid w:val="009C202C"/>
    <w:rsid w:val="009C20ED"/>
    <w:rsid w:val="00A02EF1"/>
    <w:rsid w:val="00A107DE"/>
    <w:rsid w:val="00A25BD1"/>
    <w:rsid w:val="00A317DF"/>
    <w:rsid w:val="00A60349"/>
    <w:rsid w:val="00A645A0"/>
    <w:rsid w:val="00AB1AAA"/>
    <w:rsid w:val="00AB2F55"/>
    <w:rsid w:val="00AB5909"/>
    <w:rsid w:val="00AD2D03"/>
    <w:rsid w:val="00AD4CC2"/>
    <w:rsid w:val="00AE04C0"/>
    <w:rsid w:val="00AF5D70"/>
    <w:rsid w:val="00AF6DA7"/>
    <w:rsid w:val="00B07FFA"/>
    <w:rsid w:val="00B15639"/>
    <w:rsid w:val="00B2024C"/>
    <w:rsid w:val="00B25A85"/>
    <w:rsid w:val="00B272D7"/>
    <w:rsid w:val="00B32D35"/>
    <w:rsid w:val="00B42456"/>
    <w:rsid w:val="00B4751C"/>
    <w:rsid w:val="00B720C1"/>
    <w:rsid w:val="00B72903"/>
    <w:rsid w:val="00B80D57"/>
    <w:rsid w:val="00BA3D4A"/>
    <w:rsid w:val="00BB1A0B"/>
    <w:rsid w:val="00BD2E2A"/>
    <w:rsid w:val="00C314BB"/>
    <w:rsid w:val="00C47FBE"/>
    <w:rsid w:val="00CA0B71"/>
    <w:rsid w:val="00CE4CF0"/>
    <w:rsid w:val="00D028E5"/>
    <w:rsid w:val="00D20BE6"/>
    <w:rsid w:val="00DA1988"/>
    <w:rsid w:val="00DA413C"/>
    <w:rsid w:val="00DA754F"/>
    <w:rsid w:val="00DB1C64"/>
    <w:rsid w:val="00DD3A42"/>
    <w:rsid w:val="00DD5811"/>
    <w:rsid w:val="00DE7733"/>
    <w:rsid w:val="00E039B8"/>
    <w:rsid w:val="00E171F8"/>
    <w:rsid w:val="00E55EEF"/>
    <w:rsid w:val="00E56466"/>
    <w:rsid w:val="00E75435"/>
    <w:rsid w:val="00E768B4"/>
    <w:rsid w:val="00E8083C"/>
    <w:rsid w:val="00EC4A28"/>
    <w:rsid w:val="00EC4FDA"/>
    <w:rsid w:val="00ED54D5"/>
    <w:rsid w:val="00EE06F5"/>
    <w:rsid w:val="00EF1261"/>
    <w:rsid w:val="00EF54C7"/>
    <w:rsid w:val="00F12407"/>
    <w:rsid w:val="00F210E7"/>
    <w:rsid w:val="00F302DD"/>
    <w:rsid w:val="00F4557F"/>
    <w:rsid w:val="00F56458"/>
    <w:rsid w:val="00F756E9"/>
    <w:rsid w:val="00F845FB"/>
    <w:rsid w:val="00F96F5F"/>
    <w:rsid w:val="00F971F1"/>
    <w:rsid w:val="00FB0A74"/>
    <w:rsid w:val="00FB3AE2"/>
    <w:rsid w:val="00FC5A70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  <w:style w:type="table" w:styleId="TableGrid">
    <w:name w:val="Table Grid"/>
    <w:basedOn w:val="TableNormal"/>
    <w:rsid w:val="00B0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DC5FA-6A48-429B-B83C-BBF11711068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AEBE4453-C297-4058-83B6-018B5C15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2181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Thomas Twigg</cp:lastModifiedBy>
  <cp:revision>4</cp:revision>
  <cp:lastPrinted>2000-10-12T21:12:00Z</cp:lastPrinted>
  <dcterms:created xsi:type="dcterms:W3CDTF">2018-02-05T18:18:00Z</dcterms:created>
  <dcterms:modified xsi:type="dcterms:W3CDTF">2018-02-07T16:53:00Z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