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77D5F4B4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77D5F4B4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52D00A07" w:rsidR="00733481" w:rsidRDefault="008E2AD2" w:rsidP="003A4738">
      <w:pPr>
        <w:pStyle w:val="Heading3"/>
        <w:spacing w:before="80" w:line="276" w:lineRule="auto"/>
        <w:rPr>
          <w:b/>
          <w:szCs w:val="32"/>
        </w:rPr>
      </w:pPr>
      <w:r w:rsidRPr="008E2AD2">
        <w:rPr>
          <w:b/>
          <w:szCs w:val="32"/>
        </w:rPr>
        <w:t>Disaster Recovery Plan</w:t>
      </w:r>
      <w:r>
        <w:rPr>
          <w:b/>
          <w:szCs w:val="32"/>
        </w:rPr>
        <w:t xml:space="preserve"> </w:t>
      </w:r>
      <w:r w:rsidRPr="008E2AD2">
        <w:rPr>
          <w:b/>
          <w:szCs w:val="32"/>
        </w:rPr>
        <w:t>§164.308(a)(7)(ii)(B)</w:t>
      </w:r>
    </w:p>
    <w:p w14:paraId="310A1223" w14:textId="5905E408" w:rsidR="00E62367" w:rsidRPr="00E62367" w:rsidRDefault="00E62367" w:rsidP="00E62367">
      <w:pPr>
        <w:rPr>
          <w:b/>
          <w:sz w:val="32"/>
          <w:szCs w:val="32"/>
        </w:rPr>
      </w:pPr>
      <w:r w:rsidRPr="00E62367">
        <w:rPr>
          <w:b/>
          <w:sz w:val="32"/>
          <w:szCs w:val="32"/>
        </w:rPr>
        <w:t>Contingency Operations §164.310(a)(2)(i)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2536E194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201F6D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7F98AF91" w14:textId="2B220917" w:rsidR="00DC1511" w:rsidRPr="00DC1511" w:rsidRDefault="003A4738" w:rsidP="00DC1511">
      <w:pPr>
        <w:spacing w:line="276" w:lineRule="auto"/>
      </w:pPr>
      <w:r w:rsidRPr="00DC1511">
        <w:rPr>
          <w:rFonts w:cs="Arial"/>
          <w:b/>
        </w:rPr>
        <w:t>Policy</w:t>
      </w:r>
      <w:r w:rsidR="00A02EF1" w:rsidRPr="00DC1511">
        <w:rPr>
          <w:rFonts w:cs="Arial"/>
          <w:b/>
        </w:rPr>
        <w:t>:</w:t>
      </w:r>
      <w:r w:rsidR="008E2AD2" w:rsidRPr="00DC1511">
        <w:rPr>
          <w:rFonts w:cs="Arial"/>
          <w:b/>
        </w:rPr>
        <w:t xml:space="preserve"> </w:t>
      </w:r>
      <w:r w:rsidR="008E2AD2" w:rsidRPr="00DC1511">
        <w:rPr>
          <w:rFonts w:cs="Arial"/>
        </w:rPr>
        <w:t xml:space="preserve">We must create and document a disaster recovery plan to recover our information systems if they are impacted by a disaster. The plan must be reviewed </w:t>
      </w:r>
      <w:r w:rsidR="002D75E0">
        <w:rPr>
          <w:rFonts w:cs="Arial"/>
        </w:rPr>
        <w:t>annually</w:t>
      </w:r>
      <w:r w:rsidR="008E2AD2" w:rsidRPr="00DC1511">
        <w:rPr>
          <w:rFonts w:cs="Arial"/>
        </w:rPr>
        <w:t xml:space="preserve"> and revised as necessary. </w:t>
      </w:r>
      <w:r w:rsidR="00152AA8" w:rsidRPr="00DC1511">
        <w:t xml:space="preserve">We must ensure that, in the event of a disaster or emergency, </w:t>
      </w:r>
      <w:r w:rsidR="00443C17" w:rsidRPr="00443C17">
        <w:rPr>
          <w:rFonts w:cs="Arial"/>
        </w:rPr>
        <w:t xml:space="preserve">authorized </w:t>
      </w:r>
      <w:r w:rsidR="00443C17" w:rsidRPr="00443C17">
        <w:rPr>
          <w:rFonts w:cs="Arial"/>
          <w:szCs w:val="22"/>
        </w:rPr>
        <w:t>personnel</w:t>
      </w:r>
      <w:r w:rsidR="00443C17" w:rsidRPr="00DC1511">
        <w:t xml:space="preserve"> </w:t>
      </w:r>
      <w:r w:rsidR="00152AA8" w:rsidRPr="00DC1511">
        <w:t xml:space="preserve">can enter our office </w:t>
      </w:r>
      <w:r w:rsidR="00DC1511" w:rsidRPr="00DC1511">
        <w:t>to maintain physical security and appropriate access to ePHI while allowing for data restoration activities.</w:t>
      </w:r>
    </w:p>
    <w:p w14:paraId="59CB8781" w14:textId="77777777" w:rsidR="00152AA8" w:rsidRDefault="00152AA8" w:rsidP="00602D10">
      <w:pPr>
        <w:spacing w:line="276" w:lineRule="auto"/>
        <w:rPr>
          <w:rFonts w:cs="Arial"/>
          <w:highlight w:val="yellow"/>
        </w:rPr>
      </w:pPr>
    </w:p>
    <w:p w14:paraId="18A05461" w14:textId="05A09BAE" w:rsidR="008E2AD2" w:rsidRPr="00317290" w:rsidRDefault="0054721F" w:rsidP="008E2AD2">
      <w:pPr>
        <w:spacing w:line="276" w:lineRule="auto"/>
        <w:rPr>
          <w:rFonts w:cs="Arial"/>
        </w:rPr>
      </w:pPr>
      <w:r w:rsidRPr="00317290">
        <w:rPr>
          <w:rFonts w:cs="Arial"/>
          <w:b/>
        </w:rPr>
        <w:t>Procedures:</w:t>
      </w:r>
      <w:r w:rsidR="00FD0D54" w:rsidRPr="00317290">
        <w:rPr>
          <w:rFonts w:cs="Arial"/>
          <w:b/>
        </w:rPr>
        <w:t xml:space="preserve"> </w:t>
      </w:r>
      <w:r w:rsidR="008E2AD2" w:rsidRPr="00317290">
        <w:rPr>
          <w:rFonts w:cs="Arial"/>
        </w:rPr>
        <w:t xml:space="preserve">Our </w:t>
      </w:r>
      <w:r w:rsidR="00317290" w:rsidRPr="00F72F15">
        <w:rPr>
          <w:rFonts w:cs="Arial"/>
          <w:bCs/>
        </w:rPr>
        <w:t xml:space="preserve">Security Official along with </w:t>
      </w:r>
      <w:r w:rsidR="00317290" w:rsidRPr="00F72F15">
        <w:rPr>
          <w:rFonts w:cs="Arial"/>
        </w:rPr>
        <w:t xml:space="preserve">authorized </w:t>
      </w:r>
      <w:r w:rsidR="00317290" w:rsidRPr="00F72F15">
        <w:rPr>
          <w:rFonts w:cs="Arial"/>
          <w:szCs w:val="22"/>
        </w:rPr>
        <w:t>personnel</w:t>
      </w:r>
      <w:r w:rsidR="00317290" w:rsidRPr="00F72F15">
        <w:rPr>
          <w:rFonts w:cs="Arial"/>
        </w:rPr>
        <w:t xml:space="preserve"> (i.e. </w:t>
      </w:r>
      <w:r w:rsidR="00317290" w:rsidRPr="00F72F15">
        <w:rPr>
          <w:rFonts w:cs="Arial"/>
          <w:bCs/>
        </w:rPr>
        <w:t xml:space="preserve">Contingency Team) </w:t>
      </w:r>
      <w:r w:rsidR="00317290">
        <w:rPr>
          <w:rFonts w:cs="Arial"/>
          <w:bCs/>
        </w:rPr>
        <w:t>are responsible for</w:t>
      </w:r>
      <w:r w:rsidR="008E2AD2" w:rsidRPr="00317290">
        <w:rPr>
          <w:rFonts w:cs="Arial"/>
        </w:rPr>
        <w:t xml:space="preserve"> restor</w:t>
      </w:r>
      <w:r w:rsidR="00317290">
        <w:rPr>
          <w:rFonts w:cs="Arial"/>
        </w:rPr>
        <w:t>ing</w:t>
      </w:r>
      <w:r w:rsidR="008E2AD2" w:rsidRPr="00317290">
        <w:rPr>
          <w:rFonts w:cs="Arial"/>
        </w:rPr>
        <w:t xml:space="preserve"> </w:t>
      </w:r>
      <w:bookmarkStart w:id="0" w:name="_GoBack"/>
      <w:bookmarkEnd w:id="0"/>
      <w:r w:rsidR="008E2AD2" w:rsidRPr="00317290">
        <w:rPr>
          <w:rFonts w:cs="Arial"/>
        </w:rPr>
        <w:t>any loss of ePHI</w:t>
      </w:r>
      <w:r w:rsidR="00F647C1">
        <w:rPr>
          <w:rFonts w:cs="Arial"/>
        </w:rPr>
        <w:t xml:space="preserve"> due to natural or </w:t>
      </w:r>
      <w:r w:rsidR="0086761F">
        <w:rPr>
          <w:rFonts w:cs="Arial"/>
        </w:rPr>
        <w:t>man-made</w:t>
      </w:r>
      <w:r w:rsidR="00F647C1">
        <w:rPr>
          <w:rFonts w:cs="Arial"/>
        </w:rPr>
        <w:t xml:space="preserve"> disaster</w:t>
      </w:r>
      <w:r w:rsidR="0006177E" w:rsidRPr="00317290">
        <w:rPr>
          <w:rFonts w:cs="Arial"/>
        </w:rPr>
        <w:t xml:space="preserve">. </w:t>
      </w:r>
      <w:r w:rsidR="00073769">
        <w:rPr>
          <w:rFonts w:cs="Arial"/>
        </w:rPr>
        <w:t xml:space="preserve">The </w:t>
      </w:r>
      <w:r w:rsidR="0086761F">
        <w:rPr>
          <w:rFonts w:cs="Arial"/>
        </w:rPr>
        <w:t>Contingency</w:t>
      </w:r>
      <w:r w:rsidR="00073769">
        <w:rPr>
          <w:rFonts w:cs="Arial"/>
        </w:rPr>
        <w:t xml:space="preserve"> Team will coordinate the recovery efforts to </w:t>
      </w:r>
      <w:r w:rsidR="00073769" w:rsidRPr="00073769">
        <w:rPr>
          <w:rFonts w:cs="Arial"/>
        </w:rPr>
        <w:t>restor</w:t>
      </w:r>
      <w:r w:rsidR="00073769">
        <w:rPr>
          <w:rFonts w:cs="Arial"/>
        </w:rPr>
        <w:t>e</w:t>
      </w:r>
      <w:r w:rsidR="00073769" w:rsidRPr="00073769">
        <w:rPr>
          <w:rFonts w:cs="Arial"/>
        </w:rPr>
        <w:t xml:space="preserve"> business operations.</w:t>
      </w:r>
      <w:r w:rsidR="00073769">
        <w:rPr>
          <w:rFonts w:cs="Arial"/>
        </w:rPr>
        <w:t xml:space="preserve"> </w:t>
      </w:r>
      <w:r w:rsidR="00073769" w:rsidRPr="00E1275E">
        <w:rPr>
          <w:rFonts w:cs="Arial"/>
        </w:rPr>
        <w:t>The Security Official will notify the workforce members</w:t>
      </w:r>
      <w:r w:rsidR="00073769">
        <w:rPr>
          <w:rFonts w:cs="Arial"/>
        </w:rPr>
        <w:t xml:space="preserve"> when our services resume.</w:t>
      </w:r>
    </w:p>
    <w:p w14:paraId="4BB24073" w14:textId="77777777" w:rsidR="008E2AD2" w:rsidRDefault="008E2AD2" w:rsidP="008E2AD2">
      <w:pPr>
        <w:spacing w:line="276" w:lineRule="auto"/>
        <w:rPr>
          <w:rFonts w:cs="Arial"/>
          <w:highlight w:val="yellow"/>
        </w:rPr>
      </w:pPr>
    </w:p>
    <w:p w14:paraId="05DF7B3F" w14:textId="4E14A0E1" w:rsidR="00443C17" w:rsidRDefault="00443C17" w:rsidP="00443C17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>
        <w:rPr>
          <w:rFonts w:cs="Arial"/>
          <w:b/>
        </w:rPr>
        <w:t xml:space="preserve"> </w:t>
      </w:r>
      <w:r w:rsidRPr="00DA1988">
        <w:rPr>
          <w:rFonts w:cs="Arial"/>
        </w:rPr>
        <w:t xml:space="preserve">The </w:t>
      </w:r>
      <w:r>
        <w:rPr>
          <w:rFonts w:cs="Arial"/>
        </w:rPr>
        <w:t xml:space="preserve">disaster recovery plan </w:t>
      </w:r>
      <w:r w:rsidRPr="00FF66DB">
        <w:rPr>
          <w:rFonts w:cs="Arial"/>
        </w:rPr>
        <w:t xml:space="preserve">and </w:t>
      </w:r>
      <w:r>
        <w:rPr>
          <w:rFonts w:cs="Arial"/>
        </w:rPr>
        <w:t xml:space="preserve">contingency operations procedures </w:t>
      </w:r>
      <w:r w:rsidRPr="00DA1988">
        <w:rPr>
          <w:rFonts w:cs="Arial"/>
        </w:rPr>
        <w:t>include but are not limited to:</w:t>
      </w:r>
    </w:p>
    <w:p w14:paraId="6987C653" w14:textId="77777777" w:rsidR="00443C17" w:rsidRPr="00326B58" w:rsidRDefault="00443C17" w:rsidP="00443C17">
      <w:pPr>
        <w:rPr>
          <w:rFonts w:cs="Arial"/>
        </w:rPr>
      </w:pPr>
    </w:p>
    <w:p w14:paraId="60DEEFAA" w14:textId="543DAA7C" w:rsidR="00BE551A" w:rsidRPr="00F72F15" w:rsidRDefault="00443C17" w:rsidP="00EB5F3E">
      <w:pPr>
        <w:numPr>
          <w:ilvl w:val="0"/>
          <w:numId w:val="6"/>
        </w:numPr>
        <w:spacing w:after="60"/>
        <w:rPr>
          <w:rFonts w:cs="Arial"/>
          <w:bCs/>
        </w:rPr>
      </w:pPr>
      <w:r w:rsidRPr="00F72F15">
        <w:rPr>
          <w:rFonts w:cs="Arial"/>
          <w:bCs/>
        </w:rPr>
        <w:t xml:space="preserve">In the event of a disaster, the Security Official along with </w:t>
      </w:r>
      <w:r w:rsidRPr="00F72F15">
        <w:rPr>
          <w:rFonts w:cs="Arial"/>
        </w:rPr>
        <w:t xml:space="preserve">authorized </w:t>
      </w:r>
      <w:r w:rsidRPr="00F72F15">
        <w:rPr>
          <w:rFonts w:cs="Arial"/>
          <w:szCs w:val="22"/>
        </w:rPr>
        <w:t>personnel</w:t>
      </w:r>
      <w:r w:rsidRPr="00F72F15">
        <w:rPr>
          <w:rFonts w:cs="Arial"/>
        </w:rPr>
        <w:t xml:space="preserve"> </w:t>
      </w:r>
      <w:r w:rsidR="00BE551A" w:rsidRPr="00F72F15">
        <w:rPr>
          <w:rFonts w:cs="Arial"/>
        </w:rPr>
        <w:t xml:space="preserve">(i.e. </w:t>
      </w:r>
      <w:r w:rsidR="00BE551A" w:rsidRPr="00F72F15">
        <w:rPr>
          <w:rFonts w:cs="Arial"/>
          <w:bCs/>
        </w:rPr>
        <w:t xml:space="preserve">Contingency Team) </w:t>
      </w:r>
      <w:r w:rsidR="00B8747F">
        <w:rPr>
          <w:rFonts w:cs="Arial"/>
          <w:bCs/>
        </w:rPr>
        <w:t xml:space="preserve">are </w:t>
      </w:r>
      <w:r w:rsidRPr="00F72F15">
        <w:rPr>
          <w:rFonts w:cs="Arial"/>
          <w:bCs/>
        </w:rPr>
        <w:t xml:space="preserve">responsible for </w:t>
      </w:r>
      <w:r w:rsidR="00D62EA2" w:rsidRPr="00F72F15">
        <w:rPr>
          <w:rFonts w:cs="Arial"/>
          <w:bCs/>
        </w:rPr>
        <w:t xml:space="preserve">the </w:t>
      </w:r>
      <w:r w:rsidRPr="00F72F15">
        <w:rPr>
          <w:rFonts w:cs="Arial"/>
          <w:bCs/>
        </w:rPr>
        <w:t>data recovery</w:t>
      </w:r>
      <w:r w:rsidR="00BE551A" w:rsidRPr="00F72F15">
        <w:rPr>
          <w:rFonts w:cs="Arial"/>
          <w:bCs/>
        </w:rPr>
        <w:t xml:space="preserve"> process</w:t>
      </w:r>
      <w:r w:rsidRPr="00F72F15">
        <w:rPr>
          <w:rFonts w:cs="Arial"/>
          <w:bCs/>
        </w:rPr>
        <w:t>.</w:t>
      </w:r>
    </w:p>
    <w:p w14:paraId="0C7BEB2D" w14:textId="3D4C13F3" w:rsidR="00E50BE0" w:rsidRPr="00F72F15" w:rsidRDefault="00AB1FE6" w:rsidP="00EB5F3E">
      <w:pPr>
        <w:pStyle w:val="ListParagraph"/>
        <w:numPr>
          <w:ilvl w:val="0"/>
          <w:numId w:val="6"/>
        </w:numPr>
        <w:spacing w:after="60"/>
        <w:contextualSpacing w:val="0"/>
        <w:rPr>
          <w:rFonts w:cs="Arial"/>
          <w:bCs/>
        </w:rPr>
      </w:pPr>
      <w:r w:rsidRPr="00F72F15">
        <w:rPr>
          <w:rFonts w:cs="Arial"/>
          <w:bCs/>
        </w:rPr>
        <w:t xml:space="preserve">The Contingency Team will determine </w:t>
      </w:r>
      <w:r w:rsidR="008A499D">
        <w:rPr>
          <w:rFonts w:cs="Arial"/>
          <w:bCs/>
        </w:rPr>
        <w:t xml:space="preserve">the </w:t>
      </w:r>
      <w:r w:rsidRPr="00F72F15">
        <w:rPr>
          <w:rFonts w:cs="Arial"/>
          <w:bCs/>
        </w:rPr>
        <w:t xml:space="preserve">extent of the disaster </w:t>
      </w:r>
      <w:r w:rsidR="00E50BE0" w:rsidRPr="00F72F15">
        <w:rPr>
          <w:rFonts w:cs="Arial"/>
          <w:bCs/>
        </w:rPr>
        <w:t>in collaboration with any applicable IT vendor</w:t>
      </w:r>
      <w:r w:rsidR="00876F84">
        <w:rPr>
          <w:rFonts w:cs="Arial"/>
          <w:bCs/>
        </w:rPr>
        <w:t>(</w:t>
      </w:r>
      <w:r w:rsidR="00E50BE0" w:rsidRPr="00F72F15">
        <w:rPr>
          <w:rFonts w:cs="Arial"/>
          <w:bCs/>
        </w:rPr>
        <w:t>s</w:t>
      </w:r>
      <w:r w:rsidR="00876F84">
        <w:rPr>
          <w:rFonts w:cs="Arial"/>
          <w:bCs/>
        </w:rPr>
        <w:t>)</w:t>
      </w:r>
      <w:r w:rsidR="00E50BE0" w:rsidRPr="00F72F15">
        <w:rPr>
          <w:rFonts w:cs="Arial"/>
          <w:bCs/>
        </w:rPr>
        <w:t xml:space="preserve"> </w:t>
      </w:r>
      <w:r w:rsidRPr="00F72F15">
        <w:rPr>
          <w:rFonts w:cs="Arial"/>
          <w:bCs/>
        </w:rPr>
        <w:t>and collectively decide if a facility shutdown is necessary.</w:t>
      </w:r>
      <w:r w:rsidR="00E50BE0" w:rsidRPr="00F72F15">
        <w:rPr>
          <w:rFonts w:cs="Arial"/>
          <w:bCs/>
        </w:rPr>
        <w:t xml:space="preserve"> </w:t>
      </w:r>
    </w:p>
    <w:p w14:paraId="3ABCA10A" w14:textId="1EB2979E" w:rsidR="00AB1FE6" w:rsidRPr="00F72F15" w:rsidRDefault="00AB1FE6" w:rsidP="00EB5F3E">
      <w:pPr>
        <w:pStyle w:val="ListParagraph"/>
        <w:numPr>
          <w:ilvl w:val="0"/>
          <w:numId w:val="6"/>
        </w:numPr>
        <w:spacing w:after="60"/>
        <w:contextualSpacing w:val="0"/>
        <w:rPr>
          <w:rFonts w:cs="Arial"/>
          <w:bCs/>
        </w:rPr>
      </w:pPr>
      <w:r w:rsidRPr="00F72F15">
        <w:rPr>
          <w:rFonts w:cs="Arial"/>
          <w:bCs/>
        </w:rPr>
        <w:t xml:space="preserve">The Contingency Team will determine if workforce members should temporarily relocate to an alternative </w:t>
      </w:r>
      <w:r w:rsidR="00E81A59">
        <w:rPr>
          <w:rFonts w:cs="Arial"/>
          <w:bCs/>
        </w:rPr>
        <w:t>location s</w:t>
      </w:r>
      <w:r w:rsidRPr="00F72F15">
        <w:rPr>
          <w:rFonts w:cs="Arial"/>
          <w:bCs/>
        </w:rPr>
        <w:t>ite to continue normal business functions</w:t>
      </w:r>
      <w:r w:rsidR="00E1275E">
        <w:rPr>
          <w:rFonts w:cs="Arial"/>
          <w:bCs/>
        </w:rPr>
        <w:t xml:space="preserve"> or stay at home</w:t>
      </w:r>
      <w:r w:rsidRPr="00F72F15">
        <w:rPr>
          <w:rFonts w:cs="Arial"/>
          <w:bCs/>
        </w:rPr>
        <w:t>.</w:t>
      </w:r>
    </w:p>
    <w:p w14:paraId="4D8BF650" w14:textId="7FC52574" w:rsidR="00E50BE0" w:rsidRPr="00F72F15" w:rsidRDefault="00E50BE0" w:rsidP="00EB5F3E">
      <w:pPr>
        <w:numPr>
          <w:ilvl w:val="0"/>
          <w:numId w:val="6"/>
        </w:numPr>
        <w:spacing w:after="60"/>
        <w:rPr>
          <w:rFonts w:cs="Arial"/>
        </w:rPr>
      </w:pPr>
      <w:r w:rsidRPr="00F72F15">
        <w:rPr>
          <w:rFonts w:cs="Arial"/>
        </w:rPr>
        <w:t xml:space="preserve">The Security Official will </w:t>
      </w:r>
      <w:r w:rsidR="00F855F8">
        <w:rPr>
          <w:rFonts w:cs="Arial"/>
        </w:rPr>
        <w:t xml:space="preserve">authorize </w:t>
      </w:r>
      <w:r w:rsidR="00D62EA2" w:rsidRPr="00F72F15">
        <w:rPr>
          <w:rFonts w:cs="Arial"/>
        </w:rPr>
        <w:t>workspace, computers, and supplies and c</w:t>
      </w:r>
      <w:r w:rsidRPr="00F72F15">
        <w:rPr>
          <w:rFonts w:cs="Arial"/>
        </w:rPr>
        <w:t>oordinate travel arrangements, food, and accommodations for individuals supporting the temporary backup effort</w:t>
      </w:r>
      <w:r w:rsidR="00D62EA2" w:rsidRPr="00F72F15">
        <w:rPr>
          <w:rFonts w:cs="Arial"/>
        </w:rPr>
        <w:t xml:space="preserve">, </w:t>
      </w:r>
      <w:r w:rsidR="00206932">
        <w:rPr>
          <w:rFonts w:cs="Arial"/>
        </w:rPr>
        <w:t>as</w:t>
      </w:r>
      <w:r w:rsidR="00D62EA2" w:rsidRPr="00F72F15">
        <w:rPr>
          <w:rFonts w:cs="Arial"/>
        </w:rPr>
        <w:t xml:space="preserve"> necessary. </w:t>
      </w:r>
    </w:p>
    <w:p w14:paraId="39CBB14D" w14:textId="083E7B63" w:rsidR="00F72F15" w:rsidRPr="00F72F15" w:rsidRDefault="00F72F15" w:rsidP="00EB5F3E">
      <w:pPr>
        <w:numPr>
          <w:ilvl w:val="0"/>
          <w:numId w:val="6"/>
        </w:numPr>
        <w:spacing w:after="60"/>
        <w:rPr>
          <w:rFonts w:cs="Arial"/>
        </w:rPr>
      </w:pPr>
      <w:r>
        <w:rPr>
          <w:rFonts w:cs="Arial"/>
        </w:rPr>
        <w:t xml:space="preserve">In the event of lost </w:t>
      </w:r>
      <w:r w:rsidRPr="00F72F15">
        <w:rPr>
          <w:rFonts w:cs="Arial"/>
        </w:rPr>
        <w:t xml:space="preserve">ePHI </w:t>
      </w:r>
      <w:r>
        <w:rPr>
          <w:rFonts w:cs="Arial"/>
        </w:rPr>
        <w:t xml:space="preserve">data </w:t>
      </w:r>
      <w:r w:rsidRPr="00F72F15">
        <w:rPr>
          <w:rFonts w:cs="Arial"/>
        </w:rPr>
        <w:t xml:space="preserve">and programs </w:t>
      </w:r>
      <w:r>
        <w:rPr>
          <w:rFonts w:cs="Arial"/>
        </w:rPr>
        <w:t>th</w:t>
      </w:r>
      <w:r w:rsidR="00317290">
        <w:rPr>
          <w:rFonts w:cs="Arial"/>
        </w:rPr>
        <w:t>e</w:t>
      </w:r>
      <w:r>
        <w:rPr>
          <w:rFonts w:cs="Arial"/>
        </w:rPr>
        <w:t xml:space="preserve"> information </w:t>
      </w:r>
      <w:r w:rsidRPr="00F72F15">
        <w:rPr>
          <w:rFonts w:cs="Arial"/>
        </w:rPr>
        <w:t xml:space="preserve">will be </w:t>
      </w:r>
      <w:r>
        <w:rPr>
          <w:rFonts w:cs="Arial"/>
        </w:rPr>
        <w:t xml:space="preserve">restored </w:t>
      </w:r>
      <w:r w:rsidRPr="00F72F15">
        <w:rPr>
          <w:rFonts w:cs="Arial"/>
        </w:rPr>
        <w:t>from our most recent backup</w:t>
      </w:r>
      <w:r w:rsidR="00317290">
        <w:rPr>
          <w:rFonts w:cs="Arial"/>
        </w:rPr>
        <w:t xml:space="preserve"> media</w:t>
      </w:r>
      <w:r w:rsidRPr="00F72F15">
        <w:rPr>
          <w:rFonts w:cs="Arial"/>
        </w:rPr>
        <w:t xml:space="preserve"> (onsite or off-site).</w:t>
      </w:r>
      <w:r w:rsidR="00FC7B64">
        <w:rPr>
          <w:rFonts w:cs="Arial"/>
        </w:rPr>
        <w:t xml:space="preserve"> Our IT vendor</w:t>
      </w:r>
      <w:r w:rsidR="00876F84">
        <w:rPr>
          <w:rFonts w:cs="Arial"/>
        </w:rPr>
        <w:t>(s)</w:t>
      </w:r>
      <w:r w:rsidR="00FC7B64">
        <w:rPr>
          <w:rFonts w:cs="Arial"/>
        </w:rPr>
        <w:t xml:space="preserve"> will coordinate the restoration process per our </w:t>
      </w:r>
      <w:r w:rsidR="00E81A59">
        <w:rPr>
          <w:rFonts w:cs="Arial"/>
        </w:rPr>
        <w:t>service agreement contract.</w:t>
      </w:r>
    </w:p>
    <w:p w14:paraId="065FFFC3" w14:textId="60676176" w:rsidR="00E1275E" w:rsidRPr="00E1275E" w:rsidRDefault="00E81A59" w:rsidP="00EB5F3E">
      <w:pPr>
        <w:numPr>
          <w:ilvl w:val="0"/>
          <w:numId w:val="6"/>
        </w:numPr>
        <w:spacing w:after="60"/>
        <w:rPr>
          <w:rFonts w:cs="Arial"/>
          <w:bCs/>
        </w:rPr>
      </w:pPr>
      <w:r w:rsidRPr="00E1275E">
        <w:rPr>
          <w:rFonts w:cs="Arial"/>
        </w:rPr>
        <w:t xml:space="preserve">The Contingency Team will determine when </w:t>
      </w:r>
      <w:r w:rsidR="0086761F">
        <w:rPr>
          <w:rFonts w:cs="Arial"/>
        </w:rPr>
        <w:t xml:space="preserve">our </w:t>
      </w:r>
      <w:r w:rsidRPr="00E1275E">
        <w:rPr>
          <w:rFonts w:cs="Arial"/>
        </w:rPr>
        <w:t xml:space="preserve">facility is safe and ready to resume daily business operations. </w:t>
      </w:r>
      <w:r w:rsidR="00E1275E" w:rsidRPr="00E1275E">
        <w:rPr>
          <w:rFonts w:cs="Arial"/>
        </w:rPr>
        <w:t xml:space="preserve">The Security Official will notify the workforce members. </w:t>
      </w:r>
    </w:p>
    <w:p w14:paraId="3FEEAF70" w14:textId="27B2904A" w:rsidR="00876F84" w:rsidRPr="005A6E9C" w:rsidRDefault="008A499D" w:rsidP="00EB5F3E">
      <w:pPr>
        <w:numPr>
          <w:ilvl w:val="0"/>
          <w:numId w:val="6"/>
        </w:numPr>
        <w:spacing w:after="60"/>
        <w:rPr>
          <w:rFonts w:cs="Arial"/>
        </w:rPr>
      </w:pPr>
      <w:r w:rsidRPr="005A6E9C">
        <w:rPr>
          <w:rFonts w:cs="Arial"/>
        </w:rPr>
        <w:t>Appropriate w</w:t>
      </w:r>
      <w:r w:rsidR="00876F84" w:rsidRPr="005A6E9C">
        <w:rPr>
          <w:rFonts w:cs="Arial"/>
        </w:rPr>
        <w:t>orkforce members will be trained in the disaster recovery plan</w:t>
      </w:r>
      <w:r w:rsidRPr="005A6E9C">
        <w:rPr>
          <w:rFonts w:cs="Arial"/>
        </w:rPr>
        <w:t xml:space="preserve"> and </w:t>
      </w:r>
      <w:r w:rsidR="005A6E9C" w:rsidRPr="005A6E9C">
        <w:rPr>
          <w:rFonts w:cs="Arial"/>
        </w:rPr>
        <w:t xml:space="preserve">will be authorized to access the facility to </w:t>
      </w:r>
      <w:r w:rsidR="00876F84" w:rsidRPr="005A6E9C">
        <w:rPr>
          <w:rFonts w:cs="Arial"/>
        </w:rPr>
        <w:t>restor</w:t>
      </w:r>
      <w:r w:rsidR="005A6E9C" w:rsidRPr="005A6E9C">
        <w:rPr>
          <w:rFonts w:cs="Arial"/>
        </w:rPr>
        <w:t>e</w:t>
      </w:r>
      <w:r w:rsidR="00876F84" w:rsidRPr="005A6E9C">
        <w:rPr>
          <w:rFonts w:cs="Arial"/>
        </w:rPr>
        <w:t xml:space="preserve"> business operations.</w:t>
      </w:r>
      <w:r w:rsidR="00F62731" w:rsidRPr="005A6E9C">
        <w:rPr>
          <w:rFonts w:eastAsia="Calibri" w:cs="Calibri"/>
          <w:szCs w:val="22"/>
        </w:rPr>
        <w:t xml:space="preserve"> </w:t>
      </w:r>
    </w:p>
    <w:p w14:paraId="2D1385E4" w14:textId="28FF1638" w:rsidR="0029427B" w:rsidRPr="00F302DD" w:rsidRDefault="0029427B" w:rsidP="0029427B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 xml:space="preserve">Documentation (e.g. </w:t>
      </w:r>
      <w:r>
        <w:rPr>
          <w:rFonts w:cs="Arial"/>
        </w:rPr>
        <w:t>IT vendor service agreement contracts, policies and procedures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6AB0D" w14:textId="77777777" w:rsidR="00A72211" w:rsidRDefault="00A72211">
      <w:r>
        <w:separator/>
      </w:r>
    </w:p>
  </w:endnote>
  <w:endnote w:type="continuationSeparator" w:id="0">
    <w:p w14:paraId="4DDD35ED" w14:textId="77777777" w:rsidR="00A72211" w:rsidRDefault="00A7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588059A7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0B1EC9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0B1EC9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580CB" w14:textId="77777777" w:rsidR="00A72211" w:rsidRDefault="00A72211">
      <w:r>
        <w:separator/>
      </w:r>
    </w:p>
  </w:footnote>
  <w:footnote w:type="continuationSeparator" w:id="0">
    <w:p w14:paraId="0479025B" w14:textId="77777777" w:rsidR="00A72211" w:rsidRDefault="00A72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74F"/>
    <w:multiLevelType w:val="hybridMultilevel"/>
    <w:tmpl w:val="1292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C3E45"/>
    <w:multiLevelType w:val="hybridMultilevel"/>
    <w:tmpl w:val="2B76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29EF"/>
    <w:multiLevelType w:val="hybridMultilevel"/>
    <w:tmpl w:val="D2D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0ABC"/>
    <w:rsid w:val="00036E13"/>
    <w:rsid w:val="00047102"/>
    <w:rsid w:val="000472F1"/>
    <w:rsid w:val="0006177E"/>
    <w:rsid w:val="00067A17"/>
    <w:rsid w:val="00073769"/>
    <w:rsid w:val="000917E8"/>
    <w:rsid w:val="000A028E"/>
    <w:rsid w:val="000A663E"/>
    <w:rsid w:val="000B1EC9"/>
    <w:rsid w:val="000C330B"/>
    <w:rsid w:val="000D25C5"/>
    <w:rsid w:val="000D6CEE"/>
    <w:rsid w:val="00105DEA"/>
    <w:rsid w:val="00111816"/>
    <w:rsid w:val="00133664"/>
    <w:rsid w:val="00150845"/>
    <w:rsid w:val="00152AA8"/>
    <w:rsid w:val="00152D23"/>
    <w:rsid w:val="00164651"/>
    <w:rsid w:val="00165169"/>
    <w:rsid w:val="00182881"/>
    <w:rsid w:val="0018318A"/>
    <w:rsid w:val="001A543A"/>
    <w:rsid w:val="001D73FF"/>
    <w:rsid w:val="001E6D9E"/>
    <w:rsid w:val="001F1721"/>
    <w:rsid w:val="002006E1"/>
    <w:rsid w:val="00201F6D"/>
    <w:rsid w:val="002048E0"/>
    <w:rsid w:val="00204EEB"/>
    <w:rsid w:val="00206932"/>
    <w:rsid w:val="002144B2"/>
    <w:rsid w:val="0028715C"/>
    <w:rsid w:val="0029427B"/>
    <w:rsid w:val="002959ED"/>
    <w:rsid w:val="002A5267"/>
    <w:rsid w:val="002C1D73"/>
    <w:rsid w:val="002D75E0"/>
    <w:rsid w:val="00300B01"/>
    <w:rsid w:val="00317290"/>
    <w:rsid w:val="003257D7"/>
    <w:rsid w:val="00326B58"/>
    <w:rsid w:val="00340D85"/>
    <w:rsid w:val="003466F1"/>
    <w:rsid w:val="003522E6"/>
    <w:rsid w:val="00364409"/>
    <w:rsid w:val="00375F2B"/>
    <w:rsid w:val="003868D0"/>
    <w:rsid w:val="00394B7A"/>
    <w:rsid w:val="003A4738"/>
    <w:rsid w:val="003A5828"/>
    <w:rsid w:val="003B02F7"/>
    <w:rsid w:val="004125D9"/>
    <w:rsid w:val="00443C17"/>
    <w:rsid w:val="00454502"/>
    <w:rsid w:val="0046343D"/>
    <w:rsid w:val="00466E1B"/>
    <w:rsid w:val="0048111B"/>
    <w:rsid w:val="00481851"/>
    <w:rsid w:val="004D3A43"/>
    <w:rsid w:val="004E7DE2"/>
    <w:rsid w:val="0051624B"/>
    <w:rsid w:val="005312A2"/>
    <w:rsid w:val="0054721F"/>
    <w:rsid w:val="00555087"/>
    <w:rsid w:val="00567FF7"/>
    <w:rsid w:val="00571019"/>
    <w:rsid w:val="005808DF"/>
    <w:rsid w:val="00584643"/>
    <w:rsid w:val="005A2C89"/>
    <w:rsid w:val="005A6E9C"/>
    <w:rsid w:val="005B7D1F"/>
    <w:rsid w:val="005C0D7F"/>
    <w:rsid w:val="005D3A85"/>
    <w:rsid w:val="005D5390"/>
    <w:rsid w:val="005D5A78"/>
    <w:rsid w:val="005E3A86"/>
    <w:rsid w:val="005F7952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D59"/>
    <w:rsid w:val="006900D7"/>
    <w:rsid w:val="006D0A8A"/>
    <w:rsid w:val="006D346C"/>
    <w:rsid w:val="006F4F9E"/>
    <w:rsid w:val="006F7C89"/>
    <w:rsid w:val="00716E6D"/>
    <w:rsid w:val="00720007"/>
    <w:rsid w:val="00723D3A"/>
    <w:rsid w:val="00733481"/>
    <w:rsid w:val="00734D07"/>
    <w:rsid w:val="00735247"/>
    <w:rsid w:val="0074401D"/>
    <w:rsid w:val="00755180"/>
    <w:rsid w:val="00763A04"/>
    <w:rsid w:val="00792A2D"/>
    <w:rsid w:val="007946AF"/>
    <w:rsid w:val="007C7054"/>
    <w:rsid w:val="007F0219"/>
    <w:rsid w:val="00824336"/>
    <w:rsid w:val="00834194"/>
    <w:rsid w:val="00843DC1"/>
    <w:rsid w:val="0086761F"/>
    <w:rsid w:val="00872BDC"/>
    <w:rsid w:val="00872D56"/>
    <w:rsid w:val="00876F84"/>
    <w:rsid w:val="00884DA3"/>
    <w:rsid w:val="00887562"/>
    <w:rsid w:val="008A499D"/>
    <w:rsid w:val="008A534E"/>
    <w:rsid w:val="008A6B8A"/>
    <w:rsid w:val="008B7231"/>
    <w:rsid w:val="008C5212"/>
    <w:rsid w:val="008D0395"/>
    <w:rsid w:val="008E2AD2"/>
    <w:rsid w:val="008E572F"/>
    <w:rsid w:val="00920667"/>
    <w:rsid w:val="00931A1C"/>
    <w:rsid w:val="0093418E"/>
    <w:rsid w:val="00935AA9"/>
    <w:rsid w:val="009516B7"/>
    <w:rsid w:val="009541BA"/>
    <w:rsid w:val="009A704E"/>
    <w:rsid w:val="009C202C"/>
    <w:rsid w:val="00A02EF1"/>
    <w:rsid w:val="00A03805"/>
    <w:rsid w:val="00A107DE"/>
    <w:rsid w:val="00A25BD1"/>
    <w:rsid w:val="00A317DF"/>
    <w:rsid w:val="00A40ECA"/>
    <w:rsid w:val="00A72211"/>
    <w:rsid w:val="00AB1FE6"/>
    <w:rsid w:val="00AB2F55"/>
    <w:rsid w:val="00AB5909"/>
    <w:rsid w:val="00AD2D03"/>
    <w:rsid w:val="00AE04C0"/>
    <w:rsid w:val="00AF5D70"/>
    <w:rsid w:val="00B06A26"/>
    <w:rsid w:val="00B15639"/>
    <w:rsid w:val="00B2024C"/>
    <w:rsid w:val="00B25A85"/>
    <w:rsid w:val="00B272D7"/>
    <w:rsid w:val="00B32D35"/>
    <w:rsid w:val="00B42456"/>
    <w:rsid w:val="00B4268D"/>
    <w:rsid w:val="00B4751C"/>
    <w:rsid w:val="00B720C1"/>
    <w:rsid w:val="00B72903"/>
    <w:rsid w:val="00B8747F"/>
    <w:rsid w:val="00BA3D4A"/>
    <w:rsid w:val="00BB1A0B"/>
    <w:rsid w:val="00BD0452"/>
    <w:rsid w:val="00BE551A"/>
    <w:rsid w:val="00BF5D19"/>
    <w:rsid w:val="00C03D1B"/>
    <w:rsid w:val="00D028E5"/>
    <w:rsid w:val="00D05CBC"/>
    <w:rsid w:val="00D20BE6"/>
    <w:rsid w:val="00D62EA2"/>
    <w:rsid w:val="00DA1988"/>
    <w:rsid w:val="00DA413C"/>
    <w:rsid w:val="00DA754F"/>
    <w:rsid w:val="00DB1C64"/>
    <w:rsid w:val="00DC1511"/>
    <w:rsid w:val="00DD3A42"/>
    <w:rsid w:val="00DD5811"/>
    <w:rsid w:val="00DE60FE"/>
    <w:rsid w:val="00DE7733"/>
    <w:rsid w:val="00DF136F"/>
    <w:rsid w:val="00DF77DB"/>
    <w:rsid w:val="00E0374F"/>
    <w:rsid w:val="00E1275E"/>
    <w:rsid w:val="00E171F8"/>
    <w:rsid w:val="00E50BE0"/>
    <w:rsid w:val="00E56466"/>
    <w:rsid w:val="00E62367"/>
    <w:rsid w:val="00E75435"/>
    <w:rsid w:val="00E8083C"/>
    <w:rsid w:val="00E81A59"/>
    <w:rsid w:val="00EB5F3E"/>
    <w:rsid w:val="00EC4A28"/>
    <w:rsid w:val="00EC4FDA"/>
    <w:rsid w:val="00EE06F5"/>
    <w:rsid w:val="00EF1261"/>
    <w:rsid w:val="00EF54C7"/>
    <w:rsid w:val="00F12407"/>
    <w:rsid w:val="00F210E7"/>
    <w:rsid w:val="00F302DD"/>
    <w:rsid w:val="00F4557F"/>
    <w:rsid w:val="00F56458"/>
    <w:rsid w:val="00F57D00"/>
    <w:rsid w:val="00F62731"/>
    <w:rsid w:val="00F647C1"/>
    <w:rsid w:val="00F72F15"/>
    <w:rsid w:val="00F75131"/>
    <w:rsid w:val="00F756E9"/>
    <w:rsid w:val="00F845FB"/>
    <w:rsid w:val="00F855F8"/>
    <w:rsid w:val="00F971F1"/>
    <w:rsid w:val="00FB0A74"/>
    <w:rsid w:val="00FB3AE2"/>
    <w:rsid w:val="00FC3AC3"/>
    <w:rsid w:val="00FC5A70"/>
    <w:rsid w:val="00FC7B64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C17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A296ACD-98C2-4D84-8E30-209A8D05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2705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36</cp:revision>
  <cp:lastPrinted>2000-10-12T21:12:00Z</cp:lastPrinted>
  <dcterms:created xsi:type="dcterms:W3CDTF">2015-05-26T15:53:00Z</dcterms:created>
  <dcterms:modified xsi:type="dcterms:W3CDTF">2016-03-09T00:07:00Z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