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D0C9" w14:textId="4E9F36A4" w:rsidR="00733481" w:rsidRPr="003A4738" w:rsidRDefault="002C1D73" w:rsidP="003A473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6C26745D" w:rsidR="002C1D73" w:rsidRPr="00B272D7" w:rsidRDefault="002C1D73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6C26745D" w:rsidR="002C1D73" w:rsidRPr="00B272D7" w:rsidRDefault="002C1D73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C4A28"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="00EC4A28" w:rsidRPr="003A4738">
        <w:rPr>
          <w:b/>
          <w:color w:val="37434C"/>
          <w:sz w:val="44"/>
          <w:szCs w:val="44"/>
        </w:rPr>
        <w:t xml:space="preserve">     </w:t>
      </w:r>
    </w:p>
    <w:p w14:paraId="08CB68A5" w14:textId="77777777" w:rsidR="00733481" w:rsidRDefault="00733481" w:rsidP="003A4738">
      <w:pPr>
        <w:pStyle w:val="Header"/>
        <w:pBdr>
          <w:bottom w:val="single" w:sz="4" w:space="1" w:color="auto"/>
        </w:pBdr>
        <w:tabs>
          <w:tab w:val="clear" w:pos="8640"/>
          <w:tab w:val="right" w:pos="10800"/>
        </w:tabs>
        <w:spacing w:line="276" w:lineRule="auto"/>
        <w:jc w:val="both"/>
        <w:rPr>
          <w:b/>
          <w:i/>
          <w:color w:val="808080"/>
        </w:rPr>
      </w:pPr>
      <w:r>
        <w:rPr>
          <w:b/>
          <w:i/>
          <w:color w:val="808080"/>
        </w:rPr>
        <w:t xml:space="preserve">Defining the </w:t>
      </w:r>
      <w:r w:rsidR="00BB1A0B">
        <w:rPr>
          <w:b/>
          <w:i/>
          <w:color w:val="808080"/>
        </w:rPr>
        <w:t xml:space="preserve">Overall Approach </w:t>
      </w:r>
      <w:r w:rsidR="00FC5A70">
        <w:rPr>
          <w:b/>
          <w:i/>
          <w:color w:val="808080"/>
        </w:rPr>
        <w:t>toward</w:t>
      </w:r>
      <w:r w:rsidR="00BB1A0B">
        <w:rPr>
          <w:b/>
          <w:i/>
          <w:color w:val="808080"/>
        </w:rPr>
        <w:t xml:space="preserve"> Meeting a Requirement</w:t>
      </w:r>
    </w:p>
    <w:p w14:paraId="7E7A2933" w14:textId="41C8AA73" w:rsidR="00733481" w:rsidRPr="00164651" w:rsidRDefault="00B84522" w:rsidP="003A4738">
      <w:pPr>
        <w:pStyle w:val="Heading3"/>
        <w:spacing w:before="80" w:line="276" w:lineRule="auto"/>
        <w:rPr>
          <w:b/>
          <w:szCs w:val="32"/>
        </w:rPr>
      </w:pPr>
      <w:r w:rsidRPr="003A4738">
        <w:rPr>
          <w:b/>
          <w:szCs w:val="32"/>
        </w:rPr>
        <w:t xml:space="preserve">Risk Analysis </w:t>
      </w:r>
      <w:r w:rsidR="003A4738" w:rsidRPr="003A4738">
        <w:rPr>
          <w:b/>
          <w:szCs w:val="32"/>
        </w:rPr>
        <w:t>§164.308(a)(1)(ii)(A)</w:t>
      </w:r>
    </w:p>
    <w:p w14:paraId="2F8B90A0" w14:textId="77777777" w:rsidR="00BB1A0B" w:rsidRPr="00164651" w:rsidRDefault="00164651" w:rsidP="003A473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</w:p>
    <w:p w14:paraId="59FD1ACE" w14:textId="3E5F0C4D" w:rsidR="002C1D73" w:rsidRPr="0054721F" w:rsidRDefault="002C1D73" w:rsidP="003A4738">
      <w:pPr>
        <w:pStyle w:val="Heading3"/>
        <w:tabs>
          <w:tab w:val="right" w:pos="10620"/>
        </w:tabs>
        <w:spacing w:after="80" w:line="276" w:lineRule="auto"/>
        <w:rPr>
          <w:sz w:val="24"/>
          <w:szCs w:val="24"/>
        </w:rPr>
      </w:pPr>
      <w:r w:rsidRPr="002C1D73">
        <w:rPr>
          <w:b/>
          <w:sz w:val="24"/>
          <w:szCs w:val="24"/>
        </w:rPr>
        <w:t>Policy Number:</w:t>
      </w:r>
      <w:r w:rsidR="0054721F">
        <w:rPr>
          <w:b/>
          <w:sz w:val="24"/>
          <w:szCs w:val="24"/>
        </w:rPr>
        <w:t xml:space="preserve"> </w:t>
      </w:r>
      <w:r w:rsidR="0054721F" w:rsidRPr="0054721F">
        <w:rPr>
          <w:sz w:val="24"/>
          <w:szCs w:val="24"/>
        </w:rPr>
        <w:t>&lt;If applicable&gt;</w:t>
      </w:r>
      <w:r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8107FE">
        <w:rPr>
          <w:sz w:val="24"/>
          <w:szCs w:val="24"/>
        </w:rPr>
        <w:t>0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451EDBD8" w14:textId="31125708" w:rsidR="003F3110" w:rsidRDefault="003A4738" w:rsidP="007E45E0">
      <w:r>
        <w:rPr>
          <w:rFonts w:cs="Arial"/>
          <w:b/>
        </w:rPr>
        <w:t>Policy</w:t>
      </w:r>
      <w:r w:rsidR="00A02EF1" w:rsidRPr="00A02EF1">
        <w:rPr>
          <w:rFonts w:cs="Arial"/>
          <w:b/>
        </w:rPr>
        <w:t>:</w:t>
      </w:r>
      <w:r w:rsidR="007E45E0">
        <w:rPr>
          <w:rFonts w:cs="Arial"/>
          <w:b/>
        </w:rPr>
        <w:t xml:space="preserve"> </w:t>
      </w:r>
      <w:r w:rsidR="003F3110" w:rsidRPr="003F3110">
        <w:rPr>
          <w:rFonts w:cs="Arial"/>
          <w:iCs/>
        </w:rPr>
        <w:t>Risk Analysis is often regarded as the first step towards compliance</w:t>
      </w:r>
      <w:r w:rsidR="003F3110">
        <w:rPr>
          <w:rFonts w:cs="Arial"/>
          <w:iCs/>
        </w:rPr>
        <w:t xml:space="preserve"> with the HIPAA Security Rule</w:t>
      </w:r>
      <w:r w:rsidR="003F3110" w:rsidRPr="003F3110">
        <w:rPr>
          <w:rFonts w:cs="Arial"/>
          <w:iCs/>
        </w:rPr>
        <w:t xml:space="preserve">. </w:t>
      </w:r>
      <w:r w:rsidR="0054721F" w:rsidRPr="0054721F">
        <w:rPr>
          <w:rFonts w:cs="Arial"/>
        </w:rPr>
        <w:t>We must regularly identify, define</w:t>
      </w:r>
      <w:r w:rsidR="003F7B6B">
        <w:rPr>
          <w:rFonts w:cs="Arial"/>
        </w:rPr>
        <w:t>, document</w:t>
      </w:r>
      <w:r w:rsidR="0054721F" w:rsidRPr="0054721F">
        <w:rPr>
          <w:rFonts w:cs="Arial"/>
        </w:rPr>
        <w:t xml:space="preserve"> and prioritize risks to the confidentiality, integrity and availability of our information systems containing ePHI.</w:t>
      </w:r>
      <w:r w:rsidR="003F3110" w:rsidRPr="003F3110">
        <w:t xml:space="preserve"> </w:t>
      </w:r>
    </w:p>
    <w:p w14:paraId="7A76930C" w14:textId="77777777" w:rsidR="0054721F" w:rsidRDefault="0054721F">
      <w:pPr>
        <w:rPr>
          <w:rFonts w:cs="Arial"/>
        </w:rPr>
      </w:pPr>
    </w:p>
    <w:p w14:paraId="05D30705" w14:textId="7E262DA5" w:rsidR="004E7DE2" w:rsidRDefault="0054721F" w:rsidP="007E45E0">
      <w:pPr>
        <w:rPr>
          <w:rFonts w:cs="Arial"/>
        </w:rPr>
      </w:pPr>
      <w:r>
        <w:rPr>
          <w:rFonts w:cs="Arial"/>
          <w:b/>
        </w:rPr>
        <w:t>Procedures</w:t>
      </w:r>
      <w:r w:rsidRPr="00A02EF1">
        <w:rPr>
          <w:rFonts w:cs="Arial"/>
          <w:b/>
        </w:rPr>
        <w:t>:</w:t>
      </w:r>
      <w:r w:rsidR="007E45E0">
        <w:rPr>
          <w:rFonts w:cs="Arial"/>
          <w:b/>
        </w:rPr>
        <w:t xml:space="preserve"> </w:t>
      </w:r>
      <w:r w:rsidR="004E7DE2">
        <w:rPr>
          <w:rFonts w:cs="Arial"/>
        </w:rPr>
        <w:t xml:space="preserve">We </w:t>
      </w:r>
      <w:r w:rsidR="004E7DE2" w:rsidRPr="0054721F">
        <w:rPr>
          <w:rFonts w:cs="Arial"/>
        </w:rPr>
        <w:t xml:space="preserve">conduct a risk </w:t>
      </w:r>
      <w:r w:rsidR="004E7DE2">
        <w:rPr>
          <w:rFonts w:cs="Arial"/>
        </w:rPr>
        <w:t xml:space="preserve">analysis of our information systems as required </w:t>
      </w:r>
      <w:r w:rsidR="003F7B6B" w:rsidRPr="003F7B6B">
        <w:rPr>
          <w:rFonts w:cs="Arial"/>
        </w:rPr>
        <w:t>by HIPAA</w:t>
      </w:r>
      <w:r w:rsidR="003F7B6B">
        <w:rPr>
          <w:rFonts w:cs="Arial"/>
        </w:rPr>
        <w:t xml:space="preserve"> (</w:t>
      </w:r>
      <w:r w:rsidR="00F716F6">
        <w:rPr>
          <w:rFonts w:cs="Arial"/>
        </w:rPr>
        <w:t>i</w:t>
      </w:r>
      <w:r w:rsidR="003F7B6B">
        <w:rPr>
          <w:rFonts w:cs="Arial"/>
        </w:rPr>
        <w:t>.</w:t>
      </w:r>
      <w:r w:rsidR="00F716F6">
        <w:rPr>
          <w:rFonts w:cs="Arial"/>
        </w:rPr>
        <w:t>e</w:t>
      </w:r>
      <w:r w:rsidR="003F7B6B">
        <w:rPr>
          <w:rFonts w:cs="Arial"/>
        </w:rPr>
        <w:t xml:space="preserve">. </w:t>
      </w:r>
      <w:r w:rsidR="003F7B6B" w:rsidRPr="001A06D0">
        <w:rPr>
          <w:rFonts w:cs="Calibri"/>
        </w:rPr>
        <w:t>each year prior to Meaningful Use attestation</w:t>
      </w:r>
      <w:r w:rsidR="00C658C0">
        <w:rPr>
          <w:rFonts w:cs="Calibri"/>
        </w:rPr>
        <w:t>,</w:t>
      </w:r>
      <w:r w:rsidR="003F7B6B">
        <w:rPr>
          <w:rFonts w:cs="Calibri"/>
        </w:rPr>
        <w:t xml:space="preserve"> if applicable</w:t>
      </w:r>
      <w:r w:rsidR="003F7B6B" w:rsidRPr="001A06D0">
        <w:rPr>
          <w:rFonts w:cs="Calibri"/>
        </w:rPr>
        <w:t xml:space="preserve"> or every two years</w:t>
      </w:r>
      <w:r w:rsidR="003F7B6B">
        <w:rPr>
          <w:rFonts w:cs="Calibri"/>
        </w:rPr>
        <w:t>)</w:t>
      </w:r>
      <w:r w:rsidR="003F7B6B" w:rsidRPr="001A06D0">
        <w:rPr>
          <w:rFonts w:cs="Calibri"/>
        </w:rPr>
        <w:t xml:space="preserve"> </w:t>
      </w:r>
      <w:r w:rsidR="004E7DE2" w:rsidRPr="0054721F">
        <w:rPr>
          <w:rFonts w:cs="Arial"/>
        </w:rPr>
        <w:t xml:space="preserve">or whenever there </w:t>
      </w:r>
      <w:r w:rsidR="008A6B8A">
        <w:rPr>
          <w:rFonts w:cs="Arial"/>
        </w:rPr>
        <w:t>has been</w:t>
      </w:r>
      <w:r w:rsidR="004E7DE2" w:rsidRPr="0054721F">
        <w:rPr>
          <w:rFonts w:cs="Arial"/>
        </w:rPr>
        <w:t xml:space="preserve"> a significant change in </w:t>
      </w:r>
      <w:r w:rsidR="004E7DE2">
        <w:rPr>
          <w:rFonts w:cs="Arial"/>
        </w:rPr>
        <w:t xml:space="preserve">our </w:t>
      </w:r>
      <w:r w:rsidR="004E7DE2" w:rsidRPr="0054721F">
        <w:rPr>
          <w:rFonts w:cs="Arial"/>
        </w:rPr>
        <w:t>environment.</w:t>
      </w:r>
      <w:r w:rsidRPr="0054721F">
        <w:rPr>
          <w:rFonts w:cs="Arial"/>
        </w:rPr>
        <w:t xml:space="preserve"> </w:t>
      </w:r>
      <w:r w:rsidR="004E7DE2">
        <w:rPr>
          <w:rFonts w:cs="Arial"/>
        </w:rPr>
        <w:t>Th</w:t>
      </w:r>
      <w:r w:rsidR="00C658C0">
        <w:rPr>
          <w:rFonts w:cs="Arial"/>
        </w:rPr>
        <w:t>e</w:t>
      </w:r>
      <w:r w:rsidR="004E7DE2">
        <w:rPr>
          <w:rFonts w:cs="Arial"/>
        </w:rPr>
        <w:t xml:space="preserve"> </w:t>
      </w:r>
      <w:r w:rsidR="00AD2D03">
        <w:rPr>
          <w:rFonts w:cs="Arial"/>
        </w:rPr>
        <w:t xml:space="preserve">assessment </w:t>
      </w:r>
      <w:r w:rsidR="004E7DE2">
        <w:rPr>
          <w:rFonts w:cs="Arial"/>
        </w:rPr>
        <w:t>process involve</w:t>
      </w:r>
      <w:r w:rsidR="00C658C0">
        <w:rPr>
          <w:rFonts w:cs="Arial"/>
        </w:rPr>
        <w:t>s</w:t>
      </w:r>
      <w:r w:rsidR="004E7DE2">
        <w:rPr>
          <w:rFonts w:cs="Arial"/>
        </w:rPr>
        <w:t xml:space="preserve"> </w:t>
      </w:r>
      <w:r w:rsidR="004E7DE2" w:rsidRPr="0054721F">
        <w:rPr>
          <w:rFonts w:cs="Arial"/>
        </w:rPr>
        <w:t>identif</w:t>
      </w:r>
      <w:r w:rsidR="004E7DE2">
        <w:rPr>
          <w:rFonts w:cs="Arial"/>
        </w:rPr>
        <w:t>ying</w:t>
      </w:r>
      <w:r w:rsidR="004E7DE2" w:rsidRPr="0054721F">
        <w:rPr>
          <w:rFonts w:cs="Arial"/>
        </w:rPr>
        <w:t xml:space="preserve"> and examin</w:t>
      </w:r>
      <w:r w:rsidR="004E7DE2">
        <w:rPr>
          <w:rFonts w:cs="Arial"/>
        </w:rPr>
        <w:t>ing</w:t>
      </w:r>
      <w:r w:rsidR="004E7DE2" w:rsidRPr="0054721F">
        <w:rPr>
          <w:rFonts w:cs="Arial"/>
        </w:rPr>
        <w:t xml:space="preserve"> each information system in our office for threats and vulnerabilities that could cause harm to our equipment and data. </w:t>
      </w:r>
      <w:r w:rsidR="00C658C0">
        <w:rPr>
          <w:rFonts w:cs="Arial"/>
        </w:rPr>
        <w:t xml:space="preserve">The </w:t>
      </w:r>
      <w:r w:rsidR="007F2E96">
        <w:rPr>
          <w:rFonts w:cs="Arial"/>
        </w:rPr>
        <w:t xml:space="preserve">resulting </w:t>
      </w:r>
      <w:r w:rsidR="00F15A63">
        <w:rPr>
          <w:rFonts w:cs="Arial"/>
        </w:rPr>
        <w:t>analysis</w:t>
      </w:r>
      <w:r w:rsidR="007F2E96">
        <w:rPr>
          <w:rFonts w:cs="Arial"/>
        </w:rPr>
        <w:t xml:space="preserve"> of </w:t>
      </w:r>
      <w:r w:rsidR="0013410B">
        <w:rPr>
          <w:rFonts w:cs="Arial"/>
        </w:rPr>
        <w:t>these risks</w:t>
      </w:r>
      <w:r w:rsidR="00C658C0">
        <w:rPr>
          <w:rFonts w:cs="Arial"/>
        </w:rPr>
        <w:t xml:space="preserve"> are prioritized and documented in </w:t>
      </w:r>
      <w:r w:rsidR="009B740A">
        <w:rPr>
          <w:rFonts w:cs="Arial"/>
        </w:rPr>
        <w:t xml:space="preserve">a </w:t>
      </w:r>
      <w:r w:rsidR="00C658C0">
        <w:rPr>
          <w:rFonts w:cs="Arial"/>
        </w:rPr>
        <w:t>risk assessment report.</w:t>
      </w:r>
    </w:p>
    <w:p w14:paraId="45C7EC20" w14:textId="77777777" w:rsidR="0068559F" w:rsidRDefault="0068559F" w:rsidP="004E7DE2">
      <w:pPr>
        <w:rPr>
          <w:rFonts w:cs="Arial"/>
        </w:rPr>
      </w:pPr>
    </w:p>
    <w:p w14:paraId="4F5ECBE6" w14:textId="51D0A84A" w:rsidR="0068559F" w:rsidRDefault="00822206" w:rsidP="0068559F">
      <w:pPr>
        <w:rPr>
          <w:rFonts w:cs="Arial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 w:rsidR="000607DD">
        <w:rPr>
          <w:rFonts w:cs="Arial"/>
          <w:b/>
        </w:rPr>
        <w:t xml:space="preserve"> </w:t>
      </w:r>
      <w:r w:rsidR="0068559F" w:rsidRPr="0068559F">
        <w:rPr>
          <w:rFonts w:cs="Arial"/>
        </w:rPr>
        <w:t xml:space="preserve">The risk analysis </w:t>
      </w:r>
      <w:r w:rsidR="007D07A7">
        <w:rPr>
          <w:rFonts w:cs="Arial"/>
        </w:rPr>
        <w:t>p</w:t>
      </w:r>
      <w:r w:rsidR="0068559F" w:rsidRPr="0068559F">
        <w:rPr>
          <w:rFonts w:cs="Arial"/>
        </w:rPr>
        <w:t xml:space="preserve">rocedures </w:t>
      </w:r>
      <w:r w:rsidR="00BA37AD" w:rsidRPr="00BA37AD">
        <w:rPr>
          <w:rFonts w:cs="Arial"/>
        </w:rPr>
        <w:t>include but are not limited to:</w:t>
      </w:r>
    </w:p>
    <w:p w14:paraId="78B1FBC0" w14:textId="77777777" w:rsidR="0068559F" w:rsidRPr="0068559F" w:rsidRDefault="0068559F" w:rsidP="0068559F">
      <w:pPr>
        <w:rPr>
          <w:rFonts w:cs="Arial"/>
        </w:rPr>
      </w:pPr>
    </w:p>
    <w:p w14:paraId="02C10934" w14:textId="3642E6B3" w:rsidR="0068559F" w:rsidRPr="0068559F" w:rsidRDefault="0068559F" w:rsidP="00F613C2">
      <w:pPr>
        <w:pStyle w:val="ListParagraph"/>
        <w:numPr>
          <w:ilvl w:val="0"/>
          <w:numId w:val="1"/>
        </w:numPr>
        <w:spacing w:after="60"/>
        <w:contextualSpacing w:val="0"/>
        <w:rPr>
          <w:rFonts w:cs="Arial"/>
        </w:rPr>
      </w:pPr>
      <w:r w:rsidRPr="0068559F">
        <w:rPr>
          <w:rFonts w:cs="Arial"/>
        </w:rPr>
        <w:t xml:space="preserve">Identify the </w:t>
      </w:r>
      <w:r w:rsidR="009C0739" w:rsidRPr="0068559F">
        <w:rPr>
          <w:rFonts w:cs="Arial"/>
        </w:rPr>
        <w:t>systems that</w:t>
      </w:r>
      <w:r w:rsidRPr="0068559F">
        <w:rPr>
          <w:rFonts w:cs="Arial"/>
        </w:rPr>
        <w:t xml:space="preserve"> store, process, or transmit ePHI</w:t>
      </w:r>
      <w:r w:rsidR="002E1351">
        <w:rPr>
          <w:rFonts w:cs="Arial"/>
        </w:rPr>
        <w:t>.</w:t>
      </w:r>
    </w:p>
    <w:p w14:paraId="428AD0C7" w14:textId="74E72325" w:rsidR="0068559F" w:rsidRPr="0068559F" w:rsidRDefault="0068559F" w:rsidP="00F613C2">
      <w:pPr>
        <w:pStyle w:val="ListParagraph"/>
        <w:numPr>
          <w:ilvl w:val="0"/>
          <w:numId w:val="1"/>
        </w:numPr>
        <w:spacing w:after="60"/>
        <w:contextualSpacing w:val="0"/>
        <w:rPr>
          <w:rFonts w:cs="Arial"/>
        </w:rPr>
      </w:pPr>
      <w:r w:rsidRPr="0068559F">
        <w:rPr>
          <w:rFonts w:cs="Arial"/>
        </w:rPr>
        <w:t xml:space="preserve">Identify components of systems or </w:t>
      </w:r>
      <w:r w:rsidR="009C0739" w:rsidRPr="0068559F">
        <w:rPr>
          <w:rFonts w:cs="Arial"/>
        </w:rPr>
        <w:t>applications that</w:t>
      </w:r>
      <w:r w:rsidRPr="0068559F">
        <w:rPr>
          <w:rFonts w:cs="Arial"/>
        </w:rPr>
        <w:t xml:space="preserve"> handle ePHI</w:t>
      </w:r>
      <w:r w:rsidR="002E1351">
        <w:rPr>
          <w:rFonts w:cs="Arial"/>
        </w:rPr>
        <w:t>.</w:t>
      </w:r>
    </w:p>
    <w:p w14:paraId="627847AC" w14:textId="53F8AB81" w:rsidR="0068559F" w:rsidRPr="0068559F" w:rsidRDefault="0068559F" w:rsidP="00F613C2">
      <w:pPr>
        <w:pStyle w:val="ListParagraph"/>
        <w:numPr>
          <w:ilvl w:val="0"/>
          <w:numId w:val="1"/>
        </w:numPr>
        <w:spacing w:after="60"/>
        <w:contextualSpacing w:val="0"/>
        <w:rPr>
          <w:rFonts w:cs="Arial"/>
        </w:rPr>
      </w:pPr>
      <w:r w:rsidRPr="0068559F">
        <w:rPr>
          <w:rFonts w:cs="Arial"/>
        </w:rPr>
        <w:t>Document the physical location (i.e. inventory) of IT assets that contain ePHI</w:t>
      </w:r>
      <w:r w:rsidR="002E1351">
        <w:rPr>
          <w:rFonts w:cs="Arial"/>
        </w:rPr>
        <w:t>.</w:t>
      </w:r>
    </w:p>
    <w:p w14:paraId="3B62791C" w14:textId="05D850B4" w:rsidR="0068559F" w:rsidRPr="0068559F" w:rsidRDefault="0068559F" w:rsidP="00F613C2">
      <w:pPr>
        <w:pStyle w:val="ListParagraph"/>
        <w:numPr>
          <w:ilvl w:val="0"/>
          <w:numId w:val="1"/>
        </w:numPr>
        <w:spacing w:after="60"/>
        <w:contextualSpacing w:val="0"/>
        <w:rPr>
          <w:rFonts w:cs="Arial"/>
        </w:rPr>
      </w:pPr>
      <w:r w:rsidRPr="0068559F">
        <w:rPr>
          <w:rFonts w:cs="Arial"/>
        </w:rPr>
        <w:t>Identify the criticality of the system and its data</w:t>
      </w:r>
      <w:r w:rsidR="002E1351">
        <w:rPr>
          <w:rFonts w:cs="Arial"/>
        </w:rPr>
        <w:t>.</w:t>
      </w:r>
    </w:p>
    <w:p w14:paraId="4BCD0907" w14:textId="569CBEE3" w:rsidR="0068559F" w:rsidRPr="0068559F" w:rsidRDefault="0068559F" w:rsidP="00F613C2">
      <w:pPr>
        <w:pStyle w:val="ListParagraph"/>
        <w:numPr>
          <w:ilvl w:val="0"/>
          <w:numId w:val="1"/>
        </w:numPr>
        <w:spacing w:after="60"/>
        <w:contextualSpacing w:val="0"/>
        <w:rPr>
          <w:rFonts w:cs="Arial"/>
        </w:rPr>
      </w:pPr>
      <w:r w:rsidRPr="0068559F">
        <w:rPr>
          <w:rFonts w:cs="Arial"/>
        </w:rPr>
        <w:t>Identify threats to the system</w:t>
      </w:r>
      <w:r w:rsidR="002E1351">
        <w:rPr>
          <w:rFonts w:cs="Arial"/>
        </w:rPr>
        <w:t>.</w:t>
      </w:r>
    </w:p>
    <w:p w14:paraId="13E033ED" w14:textId="5653FED4" w:rsidR="0068559F" w:rsidRPr="0068559F" w:rsidRDefault="0068559F" w:rsidP="00F613C2">
      <w:pPr>
        <w:pStyle w:val="ListParagraph"/>
        <w:numPr>
          <w:ilvl w:val="0"/>
          <w:numId w:val="1"/>
        </w:numPr>
        <w:spacing w:after="60"/>
        <w:contextualSpacing w:val="0"/>
        <w:rPr>
          <w:rFonts w:cs="Arial"/>
        </w:rPr>
      </w:pPr>
      <w:r w:rsidRPr="0068559F">
        <w:rPr>
          <w:rFonts w:cs="Arial"/>
        </w:rPr>
        <w:t>Identify vulnerabilities on the system</w:t>
      </w:r>
      <w:r w:rsidR="002E1351">
        <w:rPr>
          <w:rFonts w:cs="Arial"/>
        </w:rPr>
        <w:t>.</w:t>
      </w:r>
    </w:p>
    <w:p w14:paraId="1B34D188" w14:textId="6F63E839" w:rsidR="0068559F" w:rsidRPr="0068559F" w:rsidRDefault="0068559F" w:rsidP="00F613C2">
      <w:pPr>
        <w:pStyle w:val="ListParagraph"/>
        <w:numPr>
          <w:ilvl w:val="0"/>
          <w:numId w:val="1"/>
        </w:numPr>
        <w:spacing w:after="60"/>
        <w:contextualSpacing w:val="0"/>
        <w:rPr>
          <w:rFonts w:cs="Arial"/>
        </w:rPr>
      </w:pPr>
      <w:r w:rsidRPr="0068559F">
        <w:rPr>
          <w:rFonts w:cs="Arial"/>
        </w:rPr>
        <w:t>Analyze the controls that have been implemented, or are planned for implementation</w:t>
      </w:r>
      <w:r w:rsidR="002E1351">
        <w:rPr>
          <w:rFonts w:cs="Arial"/>
        </w:rPr>
        <w:t>.</w:t>
      </w:r>
    </w:p>
    <w:p w14:paraId="54571E5B" w14:textId="66D0D169" w:rsidR="0068559F" w:rsidRPr="0068559F" w:rsidRDefault="0068559F" w:rsidP="00F613C2">
      <w:pPr>
        <w:pStyle w:val="ListParagraph"/>
        <w:numPr>
          <w:ilvl w:val="0"/>
          <w:numId w:val="1"/>
        </w:numPr>
        <w:spacing w:after="60"/>
        <w:contextualSpacing w:val="0"/>
        <w:rPr>
          <w:rFonts w:cs="Arial"/>
        </w:rPr>
      </w:pPr>
      <w:r w:rsidRPr="0068559F">
        <w:rPr>
          <w:rFonts w:cs="Arial"/>
        </w:rPr>
        <w:t>Identify the probability that a</w:t>
      </w:r>
      <w:r w:rsidR="00795423">
        <w:rPr>
          <w:rFonts w:cs="Arial"/>
        </w:rPr>
        <w:t xml:space="preserve"> vulnerability may be exploited</w:t>
      </w:r>
      <w:r w:rsidR="002E1351">
        <w:rPr>
          <w:rFonts w:cs="Arial"/>
        </w:rPr>
        <w:t>.</w:t>
      </w:r>
    </w:p>
    <w:p w14:paraId="2D345BA2" w14:textId="73FE88FA" w:rsidR="0068559F" w:rsidRPr="0068559F" w:rsidRDefault="0068559F" w:rsidP="00F613C2">
      <w:pPr>
        <w:pStyle w:val="ListParagraph"/>
        <w:numPr>
          <w:ilvl w:val="0"/>
          <w:numId w:val="1"/>
        </w:numPr>
        <w:spacing w:after="60"/>
        <w:contextualSpacing w:val="0"/>
        <w:rPr>
          <w:rFonts w:cs="Arial"/>
        </w:rPr>
      </w:pPr>
      <w:r w:rsidRPr="0068559F">
        <w:rPr>
          <w:rFonts w:cs="Arial"/>
        </w:rPr>
        <w:t>Identify the impact of a successful threat exercise</w:t>
      </w:r>
      <w:r w:rsidR="002E1351">
        <w:rPr>
          <w:rFonts w:cs="Arial"/>
        </w:rPr>
        <w:t>.</w:t>
      </w:r>
    </w:p>
    <w:p w14:paraId="4CAC0FC5" w14:textId="06D9C4E0" w:rsidR="0068559F" w:rsidRPr="0068559F" w:rsidRDefault="0068559F" w:rsidP="00F613C2">
      <w:pPr>
        <w:pStyle w:val="ListParagraph"/>
        <w:numPr>
          <w:ilvl w:val="0"/>
          <w:numId w:val="1"/>
        </w:numPr>
        <w:spacing w:after="60"/>
        <w:contextualSpacing w:val="0"/>
        <w:rPr>
          <w:rFonts w:cs="Arial"/>
        </w:rPr>
      </w:pPr>
      <w:r w:rsidRPr="0068559F">
        <w:rPr>
          <w:rFonts w:cs="Arial"/>
        </w:rPr>
        <w:t>Assess the level of risk</w:t>
      </w:r>
      <w:r w:rsidR="002E1351">
        <w:rPr>
          <w:rFonts w:cs="Arial"/>
        </w:rPr>
        <w:t>.</w:t>
      </w:r>
    </w:p>
    <w:p w14:paraId="7FE5E210" w14:textId="6B628822" w:rsidR="0068559F" w:rsidRPr="0068559F" w:rsidRDefault="0068559F" w:rsidP="00F613C2">
      <w:pPr>
        <w:pStyle w:val="ListParagraph"/>
        <w:numPr>
          <w:ilvl w:val="0"/>
          <w:numId w:val="1"/>
        </w:numPr>
        <w:spacing w:after="60"/>
        <w:contextualSpacing w:val="0"/>
        <w:rPr>
          <w:rFonts w:cs="Arial"/>
        </w:rPr>
      </w:pPr>
      <w:r w:rsidRPr="0068559F">
        <w:rPr>
          <w:rFonts w:cs="Arial"/>
        </w:rPr>
        <w:t>Identify additional controls to mitigate identified risks</w:t>
      </w:r>
      <w:r w:rsidR="002E1351">
        <w:rPr>
          <w:rFonts w:cs="Arial"/>
        </w:rPr>
        <w:t>.</w:t>
      </w:r>
    </w:p>
    <w:p w14:paraId="21BA5DB8" w14:textId="3E0D7A7C" w:rsidR="0068559F" w:rsidRPr="0068559F" w:rsidRDefault="0068559F" w:rsidP="00F613C2">
      <w:pPr>
        <w:pStyle w:val="ListParagraph"/>
        <w:numPr>
          <w:ilvl w:val="0"/>
          <w:numId w:val="1"/>
        </w:numPr>
        <w:spacing w:after="60"/>
        <w:contextualSpacing w:val="0"/>
        <w:rPr>
          <w:rFonts w:cs="Arial"/>
        </w:rPr>
      </w:pPr>
      <w:r w:rsidRPr="0068559F">
        <w:rPr>
          <w:rFonts w:cs="Arial"/>
        </w:rPr>
        <w:t>Document the results of the risk assessment</w:t>
      </w:r>
      <w:r w:rsidR="002E1351">
        <w:rPr>
          <w:rFonts w:cs="Arial"/>
        </w:rPr>
        <w:t>.</w:t>
      </w:r>
    </w:p>
    <w:p w14:paraId="2ED530CE" w14:textId="06E6499C" w:rsidR="001222EC" w:rsidRPr="005D76E9" w:rsidRDefault="00C41F3E" w:rsidP="001222EC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Retain d</w:t>
      </w:r>
      <w:r w:rsidR="001222EC" w:rsidRPr="005D76E9">
        <w:rPr>
          <w:rFonts w:cs="Arial"/>
        </w:rPr>
        <w:t xml:space="preserve">ocumentation (e.g. </w:t>
      </w:r>
      <w:r w:rsidR="001222EC" w:rsidRPr="00155603">
        <w:rPr>
          <w:rFonts w:cs="Calibri"/>
        </w:rPr>
        <w:t xml:space="preserve">risk </w:t>
      </w:r>
      <w:r w:rsidR="001222EC">
        <w:rPr>
          <w:rFonts w:cs="Calibri"/>
        </w:rPr>
        <w:t>a</w:t>
      </w:r>
      <w:r w:rsidR="009B740A">
        <w:rPr>
          <w:rFonts w:cs="Calibri"/>
        </w:rPr>
        <w:t>ssessment</w:t>
      </w:r>
      <w:r w:rsidR="001222EC">
        <w:rPr>
          <w:rFonts w:cs="Calibri"/>
        </w:rPr>
        <w:t xml:space="preserve"> report</w:t>
      </w:r>
      <w:r w:rsidR="001222EC" w:rsidRPr="005D76E9">
        <w:rPr>
          <w:rFonts w:cs="Arial"/>
        </w:rPr>
        <w:t xml:space="preserve">) of the practices in place </w:t>
      </w:r>
      <w:r>
        <w:rPr>
          <w:rFonts w:cs="Arial"/>
        </w:rPr>
        <w:t>a</w:t>
      </w:r>
      <w:r w:rsidR="001222EC" w:rsidRPr="005D76E9">
        <w:rPr>
          <w:rFonts w:cs="Arial"/>
        </w:rPr>
        <w:t>s evidence of compliance</w:t>
      </w:r>
      <w:r w:rsidR="002429FA">
        <w:rPr>
          <w:rFonts w:cs="Arial"/>
        </w:rPr>
        <w:t>.</w:t>
      </w:r>
    </w:p>
    <w:p w14:paraId="750C11DB" w14:textId="77777777" w:rsidR="0068559F" w:rsidRPr="0068559F" w:rsidRDefault="0068559F">
      <w:pPr>
        <w:rPr>
          <w:rFonts w:cs="Arial"/>
        </w:rPr>
      </w:pPr>
    </w:p>
    <w:p w14:paraId="058BB2FC" w14:textId="77D10E0F" w:rsidR="00A02EF1" w:rsidRDefault="003A4738" w:rsidP="00A101F4">
      <w:pPr>
        <w:spacing w:line="276" w:lineRule="auto"/>
        <w:rPr>
          <w:rFonts w:cs="Arial"/>
        </w:rPr>
      </w:pPr>
      <w:r>
        <w:rPr>
          <w:rFonts w:cs="Arial"/>
          <w:b/>
        </w:rPr>
        <w:t>Location of supporting documentation</w:t>
      </w:r>
      <w:r w:rsidR="00A02EF1" w:rsidRPr="00A02EF1">
        <w:rPr>
          <w:rFonts w:cs="Arial"/>
          <w:b/>
        </w:rPr>
        <w:t>:</w:t>
      </w:r>
      <w:r w:rsidR="00A101F4">
        <w:rPr>
          <w:rFonts w:cs="Arial"/>
          <w:b/>
        </w:rPr>
        <w:t xml:space="preserve"> </w:t>
      </w:r>
      <w:r>
        <w:rPr>
          <w:rFonts w:cs="Arial"/>
        </w:rPr>
        <w:t>If so, identify the document and location it is stored</w:t>
      </w:r>
      <w:r w:rsidR="0054721F">
        <w:rPr>
          <w:rFonts w:cs="Arial"/>
        </w:rPr>
        <w:t xml:space="preserve"> here.</w:t>
      </w:r>
    </w:p>
    <w:p w14:paraId="5B5E2D4F" w14:textId="77777777" w:rsidR="00A02EF1" w:rsidRDefault="00A02EF1">
      <w:pPr>
        <w:rPr>
          <w:rFonts w:cs="Arial"/>
        </w:rPr>
      </w:pPr>
    </w:p>
    <w:p w14:paraId="3D625027" w14:textId="77777777" w:rsidR="00733481" w:rsidRDefault="00733481">
      <w:pPr>
        <w:rPr>
          <w:sz w:val="22"/>
        </w:rPr>
      </w:pPr>
    </w:p>
    <w:p w14:paraId="7FA9C154" w14:textId="77777777" w:rsidR="00733481" w:rsidRDefault="00733481">
      <w:pPr>
        <w:rPr>
          <w:sz w:val="22"/>
        </w:rPr>
      </w:pPr>
    </w:p>
    <w:p w14:paraId="2E6AB990" w14:textId="77777777" w:rsidR="00733481" w:rsidRDefault="00733481">
      <w:pPr>
        <w:rPr>
          <w:sz w:val="22"/>
        </w:rPr>
      </w:pPr>
    </w:p>
    <w:p w14:paraId="4F5DA181" w14:textId="77777777" w:rsidR="00733481" w:rsidRDefault="00733481">
      <w:pPr>
        <w:rPr>
          <w:sz w:val="22"/>
        </w:rPr>
      </w:pPr>
    </w:p>
    <w:p w14:paraId="5609A3AF" w14:textId="77777777" w:rsidR="00733481" w:rsidRDefault="00733481">
      <w:pPr>
        <w:rPr>
          <w:sz w:val="22"/>
        </w:rPr>
      </w:pPr>
    </w:p>
    <w:p w14:paraId="4AD957E6" w14:textId="77777777" w:rsidR="00733481" w:rsidRDefault="00733481">
      <w:pPr>
        <w:rPr>
          <w:sz w:val="22"/>
        </w:rPr>
      </w:pPr>
    </w:p>
    <w:p w14:paraId="0F0DFEE8" w14:textId="77777777" w:rsidR="00733481" w:rsidRDefault="00733481">
      <w:pPr>
        <w:rPr>
          <w:sz w:val="22"/>
        </w:rPr>
      </w:pPr>
    </w:p>
    <w:p w14:paraId="26F8B06C" w14:textId="77777777" w:rsidR="00733481" w:rsidRDefault="00733481">
      <w:pPr>
        <w:rPr>
          <w:sz w:val="22"/>
        </w:rPr>
      </w:pPr>
    </w:p>
    <w:p w14:paraId="2D94E42B" w14:textId="77777777" w:rsidR="00733481" w:rsidRDefault="00733481">
      <w:pPr>
        <w:rPr>
          <w:sz w:val="22"/>
        </w:rPr>
      </w:pPr>
    </w:p>
    <w:p w14:paraId="440223A8" w14:textId="77777777" w:rsidR="00733481" w:rsidRDefault="00733481">
      <w:pPr>
        <w:rPr>
          <w:sz w:val="22"/>
        </w:rPr>
      </w:pPr>
    </w:p>
    <w:p w14:paraId="01BF9444" w14:textId="77777777" w:rsidR="00733481" w:rsidRPr="00B272D7" w:rsidRDefault="00733481" w:rsidP="00612AF3">
      <w:pPr>
        <w:pStyle w:val="Heading2"/>
        <w:pageBreakBefore/>
        <w:pBdr>
          <w:bottom w:val="single" w:sz="4" w:space="0" w:color="auto"/>
        </w:pBdr>
        <w:jc w:val="left"/>
        <w:rPr>
          <w:noProof/>
          <w:color w:val="37434C"/>
          <w:sz w:val="44"/>
          <w:szCs w:val="44"/>
        </w:rPr>
      </w:pPr>
      <w:r w:rsidRPr="00B272D7">
        <w:rPr>
          <w:noProof/>
          <w:color w:val="37434C"/>
          <w:sz w:val="44"/>
          <w:szCs w:val="44"/>
        </w:rPr>
        <w:lastRenderedPageBreak/>
        <w:t>REVISION HISTORY</w:t>
      </w:r>
    </w:p>
    <w:p w14:paraId="2DA794B3" w14:textId="77777777" w:rsidR="00733481" w:rsidRPr="009C202C" w:rsidRDefault="00733481">
      <w:pPr>
        <w:rPr>
          <w:sz w:val="12"/>
          <w:szCs w:val="12"/>
        </w:rPr>
      </w:pP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43" w:type="dxa"/>
          <w:bottom w:w="86" w:type="dxa"/>
          <w:right w:w="43" w:type="dxa"/>
        </w:tblCellMar>
        <w:tblLook w:val="00A0" w:firstRow="1" w:lastRow="0" w:firstColumn="1" w:lastColumn="0" w:noHBand="0" w:noVBand="0"/>
      </w:tblPr>
      <w:tblGrid>
        <w:gridCol w:w="990"/>
        <w:gridCol w:w="1915"/>
        <w:gridCol w:w="1987"/>
        <w:gridCol w:w="5962"/>
      </w:tblGrid>
      <w:tr w:rsidR="00733481" w:rsidRPr="001D73FF" w14:paraId="2B00AA2B" w14:textId="77777777" w:rsidTr="006D346C">
        <w:trPr>
          <w:tblHeader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solid" w:color="37434C" w:fill="FFFFFF"/>
          </w:tcPr>
          <w:p w14:paraId="11006003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Revision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solid" w:color="37434C" w:fill="FFFFFF"/>
          </w:tcPr>
          <w:p w14:paraId="56701A6C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Date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37434C" w:fill="FFFFFF"/>
          </w:tcPr>
          <w:p w14:paraId="25B27814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Initiator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solid" w:color="37434C" w:fill="FFFFFF"/>
          </w:tcPr>
          <w:p w14:paraId="4AB55EBF" w14:textId="77777777" w:rsidR="00733481" w:rsidRPr="005D3A85" w:rsidRDefault="00733481" w:rsidP="006D346C">
            <w:pPr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Nature of Change</w:t>
            </w:r>
          </w:p>
        </w:tc>
      </w:tr>
      <w:tr w:rsidR="00733481" w:rsidRPr="001D73FF" w14:paraId="5F9C1E1D" w14:textId="77777777" w:rsidTr="006D346C">
        <w:trPr>
          <w:jc w:val="center"/>
        </w:trPr>
        <w:tc>
          <w:tcPr>
            <w:tcW w:w="990" w:type="dxa"/>
            <w:shd w:val="clear" w:color="auto" w:fill="85A9C2"/>
          </w:tcPr>
          <w:p w14:paraId="538CF2DC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0</w:t>
            </w:r>
          </w:p>
        </w:tc>
        <w:tc>
          <w:tcPr>
            <w:tcW w:w="1915" w:type="dxa"/>
            <w:shd w:val="clear" w:color="000000" w:fill="C6C58F"/>
          </w:tcPr>
          <w:p w14:paraId="614DC773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shd w:val="solid" w:color="85A9C2" w:fill="FFFFFF"/>
          </w:tcPr>
          <w:p w14:paraId="7FE96555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shd w:val="clear" w:color="000000" w:fill="C6C58F"/>
          </w:tcPr>
          <w:p w14:paraId="37E176EC" w14:textId="77777777" w:rsidR="00733481" w:rsidRPr="001D73FF" w:rsidRDefault="00733481" w:rsidP="005B7D1F">
            <w:pPr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 xml:space="preserve">Initial </w:t>
            </w:r>
            <w:r w:rsidR="005B7D1F">
              <w:rPr>
                <w:rFonts w:cs="Arial"/>
                <w:noProof/>
              </w:rPr>
              <w:t>draft</w:t>
            </w:r>
          </w:p>
        </w:tc>
      </w:tr>
      <w:tr w:rsidR="00733481" w:rsidRPr="001D73FF" w14:paraId="3E9A25BA" w14:textId="77777777" w:rsidTr="006D346C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85A9C2"/>
          </w:tcPr>
          <w:p w14:paraId="033C2B56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000000" w:fill="C6C58F"/>
          </w:tcPr>
          <w:p w14:paraId="36572BD4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85A9C2" w:fill="FFFFFF"/>
          </w:tcPr>
          <w:p w14:paraId="49393697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tcBorders>
              <w:bottom w:val="single" w:sz="4" w:space="0" w:color="auto"/>
            </w:tcBorders>
            <w:shd w:val="clear" w:color="000000" w:fill="C6C58F"/>
          </w:tcPr>
          <w:p w14:paraId="32F00FC7" w14:textId="77777777" w:rsidR="00733481" w:rsidRPr="001D73FF" w:rsidRDefault="00733481" w:rsidP="006D346C">
            <w:pPr>
              <w:rPr>
                <w:rFonts w:cs="Arial"/>
                <w:noProof/>
              </w:rPr>
            </w:pPr>
          </w:p>
        </w:tc>
      </w:tr>
    </w:tbl>
    <w:p w14:paraId="3AA621A5" w14:textId="77777777" w:rsidR="00733481" w:rsidRDefault="00733481"/>
    <w:p w14:paraId="12657EF3" w14:textId="77777777" w:rsidR="00733481" w:rsidRDefault="00733481">
      <w:pPr>
        <w:rPr>
          <w:sz w:val="22"/>
        </w:rPr>
      </w:pPr>
    </w:p>
    <w:sectPr w:rsidR="00733481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DE577" w14:textId="77777777" w:rsidR="00AD6F2B" w:rsidRDefault="00AD6F2B">
      <w:r>
        <w:separator/>
      </w:r>
    </w:p>
  </w:endnote>
  <w:endnote w:type="continuationSeparator" w:id="0">
    <w:p w14:paraId="69F00EAF" w14:textId="77777777" w:rsidR="00AD6F2B" w:rsidRDefault="00AD6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A88A" w14:textId="21C7E815" w:rsidR="006D346C" w:rsidRPr="00A02EF1" w:rsidRDefault="006D346C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513791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513791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C6B20" w14:textId="77777777" w:rsidR="00AD6F2B" w:rsidRDefault="00AD6F2B">
      <w:r>
        <w:separator/>
      </w:r>
    </w:p>
  </w:footnote>
  <w:footnote w:type="continuationSeparator" w:id="0">
    <w:p w14:paraId="7D69069C" w14:textId="77777777" w:rsidR="00AD6F2B" w:rsidRDefault="00AD6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14285"/>
    <w:multiLevelType w:val="hybridMultilevel"/>
    <w:tmpl w:val="54D0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91E98"/>
    <w:multiLevelType w:val="hybridMultilevel"/>
    <w:tmpl w:val="B756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14DE6"/>
    <w:rsid w:val="00014E8B"/>
    <w:rsid w:val="00026614"/>
    <w:rsid w:val="000472F1"/>
    <w:rsid w:val="000607DD"/>
    <w:rsid w:val="00067A17"/>
    <w:rsid w:val="00091379"/>
    <w:rsid w:val="000A028E"/>
    <w:rsid w:val="000C330B"/>
    <w:rsid w:val="000D25C5"/>
    <w:rsid w:val="000D6CEE"/>
    <w:rsid w:val="000E0F51"/>
    <w:rsid w:val="00105DEA"/>
    <w:rsid w:val="001222EC"/>
    <w:rsid w:val="0013410B"/>
    <w:rsid w:val="001505DA"/>
    <w:rsid w:val="00150845"/>
    <w:rsid w:val="00152D23"/>
    <w:rsid w:val="00164651"/>
    <w:rsid w:val="00182881"/>
    <w:rsid w:val="001A543A"/>
    <w:rsid w:val="001D73FF"/>
    <w:rsid w:val="001E4A61"/>
    <w:rsid w:val="001E6D9E"/>
    <w:rsid w:val="002144B2"/>
    <w:rsid w:val="002429FA"/>
    <w:rsid w:val="002842AE"/>
    <w:rsid w:val="002959ED"/>
    <w:rsid w:val="002A5267"/>
    <w:rsid w:val="002C1D73"/>
    <w:rsid w:val="002E1351"/>
    <w:rsid w:val="003257D7"/>
    <w:rsid w:val="00340D85"/>
    <w:rsid w:val="003868D0"/>
    <w:rsid w:val="003A4738"/>
    <w:rsid w:val="003B02F7"/>
    <w:rsid w:val="003B415C"/>
    <w:rsid w:val="003C61A9"/>
    <w:rsid w:val="003F3110"/>
    <w:rsid w:val="003F31AD"/>
    <w:rsid w:val="003F7B6B"/>
    <w:rsid w:val="004125D9"/>
    <w:rsid w:val="00454502"/>
    <w:rsid w:val="0046343D"/>
    <w:rsid w:val="00466E1B"/>
    <w:rsid w:val="004E7DE2"/>
    <w:rsid w:val="00513791"/>
    <w:rsid w:val="0054721F"/>
    <w:rsid w:val="00567FF7"/>
    <w:rsid w:val="00571019"/>
    <w:rsid w:val="005808DF"/>
    <w:rsid w:val="00584643"/>
    <w:rsid w:val="00594EBB"/>
    <w:rsid w:val="005B7D1F"/>
    <w:rsid w:val="005C0D7F"/>
    <w:rsid w:val="005D3A85"/>
    <w:rsid w:val="005E3A86"/>
    <w:rsid w:val="005F7952"/>
    <w:rsid w:val="00612AF3"/>
    <w:rsid w:val="0063146C"/>
    <w:rsid w:val="0063585F"/>
    <w:rsid w:val="0065743E"/>
    <w:rsid w:val="00667A83"/>
    <w:rsid w:val="0067082C"/>
    <w:rsid w:val="006819C3"/>
    <w:rsid w:val="0068559F"/>
    <w:rsid w:val="00686D59"/>
    <w:rsid w:val="006A1ED0"/>
    <w:rsid w:val="006D2434"/>
    <w:rsid w:val="006D346C"/>
    <w:rsid w:val="006F4F9E"/>
    <w:rsid w:val="006F7C89"/>
    <w:rsid w:val="00723D3A"/>
    <w:rsid w:val="007275EB"/>
    <w:rsid w:val="00733481"/>
    <w:rsid w:val="00734D07"/>
    <w:rsid w:val="00735247"/>
    <w:rsid w:val="0074401D"/>
    <w:rsid w:val="00746298"/>
    <w:rsid w:val="00754B5F"/>
    <w:rsid w:val="00755180"/>
    <w:rsid w:val="00756E4D"/>
    <w:rsid w:val="007946AF"/>
    <w:rsid w:val="00795423"/>
    <w:rsid w:val="007C7054"/>
    <w:rsid w:val="007D07A7"/>
    <w:rsid w:val="007E18C0"/>
    <w:rsid w:val="007E45E0"/>
    <w:rsid w:val="007E5481"/>
    <w:rsid w:val="007F0219"/>
    <w:rsid w:val="007F2E96"/>
    <w:rsid w:val="008107FE"/>
    <w:rsid w:val="00822206"/>
    <w:rsid w:val="00834194"/>
    <w:rsid w:val="00872BDC"/>
    <w:rsid w:val="008848AC"/>
    <w:rsid w:val="00884DA3"/>
    <w:rsid w:val="00887562"/>
    <w:rsid w:val="00895F9D"/>
    <w:rsid w:val="008A534E"/>
    <w:rsid w:val="008A6B8A"/>
    <w:rsid w:val="008B7231"/>
    <w:rsid w:val="008C5212"/>
    <w:rsid w:val="008E572F"/>
    <w:rsid w:val="00920667"/>
    <w:rsid w:val="00931A1C"/>
    <w:rsid w:val="0093418E"/>
    <w:rsid w:val="00935AA9"/>
    <w:rsid w:val="009516B7"/>
    <w:rsid w:val="009541BA"/>
    <w:rsid w:val="009B740A"/>
    <w:rsid w:val="009C0739"/>
    <w:rsid w:val="009C202C"/>
    <w:rsid w:val="009C4494"/>
    <w:rsid w:val="009C7BB0"/>
    <w:rsid w:val="009E0AC1"/>
    <w:rsid w:val="009F2E12"/>
    <w:rsid w:val="00A02EF1"/>
    <w:rsid w:val="00A101F4"/>
    <w:rsid w:val="00A107DE"/>
    <w:rsid w:val="00A25BD1"/>
    <w:rsid w:val="00A7064D"/>
    <w:rsid w:val="00AC001F"/>
    <w:rsid w:val="00AD0CA8"/>
    <w:rsid w:val="00AD2D03"/>
    <w:rsid w:val="00AD6F2B"/>
    <w:rsid w:val="00AE04C0"/>
    <w:rsid w:val="00B15639"/>
    <w:rsid w:val="00B2024C"/>
    <w:rsid w:val="00B25A85"/>
    <w:rsid w:val="00B272D7"/>
    <w:rsid w:val="00B32D35"/>
    <w:rsid w:val="00B42456"/>
    <w:rsid w:val="00B4751C"/>
    <w:rsid w:val="00B720C1"/>
    <w:rsid w:val="00B72903"/>
    <w:rsid w:val="00B84522"/>
    <w:rsid w:val="00BA37AD"/>
    <w:rsid w:val="00BB1A0B"/>
    <w:rsid w:val="00BB7F78"/>
    <w:rsid w:val="00C41F3E"/>
    <w:rsid w:val="00C4203D"/>
    <w:rsid w:val="00C658C0"/>
    <w:rsid w:val="00D646B3"/>
    <w:rsid w:val="00D74496"/>
    <w:rsid w:val="00DA0E54"/>
    <w:rsid w:val="00DC5999"/>
    <w:rsid w:val="00DD3A42"/>
    <w:rsid w:val="00DD5811"/>
    <w:rsid w:val="00DE7733"/>
    <w:rsid w:val="00E171F8"/>
    <w:rsid w:val="00E40989"/>
    <w:rsid w:val="00E56466"/>
    <w:rsid w:val="00E8083C"/>
    <w:rsid w:val="00E816F2"/>
    <w:rsid w:val="00EC4A28"/>
    <w:rsid w:val="00EC4FDA"/>
    <w:rsid w:val="00EE06F5"/>
    <w:rsid w:val="00EF1261"/>
    <w:rsid w:val="00EF54C7"/>
    <w:rsid w:val="00F12407"/>
    <w:rsid w:val="00F15A63"/>
    <w:rsid w:val="00F56458"/>
    <w:rsid w:val="00F613C2"/>
    <w:rsid w:val="00F716F6"/>
    <w:rsid w:val="00F756E9"/>
    <w:rsid w:val="00F971F1"/>
    <w:rsid w:val="00FB3AE2"/>
    <w:rsid w:val="00FC5A70"/>
    <w:rsid w:val="00F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7B1A28-D87D-42B3-8264-85C2F5E4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2013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Silvia Radvak</cp:lastModifiedBy>
  <cp:revision>43</cp:revision>
  <cp:lastPrinted>2000-10-12T21:12:00Z</cp:lastPrinted>
  <dcterms:created xsi:type="dcterms:W3CDTF">2015-05-19T19:58:00Z</dcterms:created>
  <dcterms:modified xsi:type="dcterms:W3CDTF">2016-03-09T00:14:00Z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