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F9D0C9" w14:textId="524F7A19" w:rsidR="00733481" w:rsidRPr="003A4738" w:rsidRDefault="002C1D73" w:rsidP="003A4738">
      <w:pPr>
        <w:pStyle w:val="Header"/>
        <w:tabs>
          <w:tab w:val="clear" w:pos="4320"/>
          <w:tab w:val="clear" w:pos="8640"/>
          <w:tab w:val="right" w:pos="10800"/>
        </w:tabs>
        <w:spacing w:line="276" w:lineRule="auto"/>
        <w:rPr>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73DE75D4" w14:textId="0220CDFE" w:rsidR="002C1D73" w:rsidRPr="00B272D7" w:rsidRDefault="002C1D73" w:rsidP="003A4738">
                            <w:pPr>
                              <w:jc w:val="center"/>
                              <w:rPr>
                                <w:sz w:val="48"/>
                                <w:szCs w:val="48"/>
                              </w:rPr>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0220CDFE" w:rsidR="002C1D73" w:rsidRPr="00B272D7" w:rsidRDefault="002C1D73" w:rsidP="003A4738">
                      <w:pPr>
                        <w:jc w:val="center"/>
                        <w:rPr>
                          <w:sz w:val="48"/>
                          <w:szCs w:val="48"/>
                        </w:rPr>
                      </w:pPr>
                      <w:bookmarkStart w:id="1" w:name="_GoBack"/>
                      <w:bookmarkEnd w:id="1"/>
                    </w:p>
                  </w:txbxContent>
                </v:textbox>
                <w10:wrap type="square"/>
              </v:shape>
            </w:pict>
          </mc:Fallback>
        </mc:AlternateContent>
      </w:r>
      <w:r w:rsidR="00EC4A28" w:rsidRPr="003A4738">
        <w:rPr>
          <w:b/>
          <w:color w:val="37434C"/>
          <w:sz w:val="44"/>
          <w:szCs w:val="44"/>
        </w:rPr>
        <w:t xml:space="preserve">POLICY </w:t>
      </w:r>
      <w:r w:rsidR="003A4738" w:rsidRPr="003A4738">
        <w:rPr>
          <w:b/>
          <w:color w:val="37434C"/>
          <w:sz w:val="44"/>
          <w:szCs w:val="44"/>
        </w:rPr>
        <w:t>&amp; PROCEDURES</w:t>
      </w:r>
      <w:r w:rsidR="00EC4A28" w:rsidRPr="003A4738">
        <w:rPr>
          <w:b/>
          <w:color w:val="37434C"/>
          <w:sz w:val="44"/>
          <w:szCs w:val="44"/>
        </w:rPr>
        <w:t xml:space="preserve">     </w:t>
      </w:r>
    </w:p>
    <w:p w14:paraId="08CB68A5" w14:textId="77777777" w:rsidR="00733481" w:rsidRDefault="00733481" w:rsidP="003A4738">
      <w:pPr>
        <w:pStyle w:val="Header"/>
        <w:pBdr>
          <w:bottom w:val="single" w:sz="4" w:space="1" w:color="auto"/>
        </w:pBdr>
        <w:tabs>
          <w:tab w:val="clear" w:pos="8640"/>
          <w:tab w:val="right" w:pos="10800"/>
        </w:tabs>
        <w:spacing w:line="276" w:lineRule="auto"/>
        <w:jc w:val="both"/>
        <w:rPr>
          <w:b/>
          <w:i/>
          <w:color w:val="808080"/>
        </w:rPr>
      </w:pPr>
      <w:r>
        <w:rPr>
          <w:b/>
          <w:i/>
          <w:color w:val="808080"/>
        </w:rPr>
        <w:t xml:space="preserve">Defining the </w:t>
      </w:r>
      <w:r w:rsidR="00BB1A0B">
        <w:rPr>
          <w:b/>
          <w:i/>
          <w:color w:val="808080"/>
        </w:rPr>
        <w:t xml:space="preserve">Overall Approach </w:t>
      </w:r>
      <w:r w:rsidR="00FC5A70">
        <w:rPr>
          <w:b/>
          <w:i/>
          <w:color w:val="808080"/>
        </w:rPr>
        <w:t>toward</w:t>
      </w:r>
      <w:r w:rsidR="00BB1A0B">
        <w:rPr>
          <w:b/>
          <w:i/>
          <w:color w:val="808080"/>
        </w:rPr>
        <w:t xml:space="preserve"> Meeting a Requirement</w:t>
      </w:r>
    </w:p>
    <w:p w14:paraId="7E7A2933" w14:textId="19F3F86C" w:rsidR="00733481" w:rsidRDefault="00B80D2E" w:rsidP="003A4738">
      <w:pPr>
        <w:pStyle w:val="Heading3"/>
        <w:spacing w:before="80" w:line="276" w:lineRule="auto"/>
        <w:rPr>
          <w:b/>
          <w:szCs w:val="32"/>
        </w:rPr>
      </w:pPr>
      <w:r w:rsidRPr="00B80D2E">
        <w:rPr>
          <w:b/>
          <w:szCs w:val="32"/>
        </w:rPr>
        <w:t>Policy and Procedures §164.316(a)</w:t>
      </w:r>
    </w:p>
    <w:p w14:paraId="3F8E0EA4" w14:textId="684545D8" w:rsidR="00B80D2E" w:rsidRDefault="00B80D2E" w:rsidP="00311462">
      <w:pPr>
        <w:spacing w:line="276" w:lineRule="auto"/>
        <w:rPr>
          <w:b/>
          <w:sz w:val="32"/>
          <w:szCs w:val="32"/>
        </w:rPr>
      </w:pPr>
      <w:r w:rsidRPr="00B80D2E">
        <w:rPr>
          <w:b/>
          <w:sz w:val="32"/>
          <w:szCs w:val="32"/>
        </w:rPr>
        <w:t>Time Limit</w:t>
      </w:r>
      <w:r>
        <w:rPr>
          <w:b/>
          <w:sz w:val="32"/>
          <w:szCs w:val="32"/>
        </w:rPr>
        <w:t xml:space="preserve"> </w:t>
      </w:r>
      <w:r w:rsidRPr="00B80D2E">
        <w:rPr>
          <w:b/>
          <w:sz w:val="32"/>
          <w:szCs w:val="32"/>
        </w:rPr>
        <w:t>§164.316(b)(2)(i)</w:t>
      </w:r>
    </w:p>
    <w:p w14:paraId="449552D3" w14:textId="2A7AF0EF" w:rsidR="00B80D2E" w:rsidRDefault="00B80D2E" w:rsidP="00311462">
      <w:pPr>
        <w:spacing w:line="276" w:lineRule="auto"/>
        <w:rPr>
          <w:b/>
          <w:sz w:val="32"/>
          <w:szCs w:val="32"/>
        </w:rPr>
      </w:pPr>
      <w:r w:rsidRPr="00B80D2E">
        <w:rPr>
          <w:b/>
          <w:sz w:val="32"/>
          <w:szCs w:val="32"/>
        </w:rPr>
        <w:t>Availability</w:t>
      </w:r>
      <w:r>
        <w:rPr>
          <w:b/>
          <w:sz w:val="32"/>
          <w:szCs w:val="32"/>
        </w:rPr>
        <w:t xml:space="preserve"> </w:t>
      </w:r>
      <w:r w:rsidRPr="00B80D2E">
        <w:rPr>
          <w:b/>
          <w:sz w:val="32"/>
          <w:szCs w:val="32"/>
        </w:rPr>
        <w:t>§164.316(b)(2)(ii)</w:t>
      </w:r>
    </w:p>
    <w:p w14:paraId="4979B9D8" w14:textId="3FC4E11A" w:rsidR="00B80D2E" w:rsidRPr="00B80D2E" w:rsidRDefault="00B80D2E" w:rsidP="00311462">
      <w:pPr>
        <w:spacing w:line="276" w:lineRule="auto"/>
        <w:rPr>
          <w:b/>
          <w:sz w:val="32"/>
          <w:szCs w:val="32"/>
        </w:rPr>
      </w:pPr>
      <w:r w:rsidRPr="00B80D2E">
        <w:rPr>
          <w:b/>
          <w:sz w:val="32"/>
          <w:szCs w:val="32"/>
        </w:rPr>
        <w:t>Updates</w:t>
      </w:r>
      <w:r>
        <w:rPr>
          <w:b/>
          <w:sz w:val="32"/>
          <w:szCs w:val="32"/>
        </w:rPr>
        <w:t xml:space="preserve"> </w:t>
      </w:r>
      <w:r w:rsidRPr="00B80D2E">
        <w:rPr>
          <w:b/>
          <w:sz w:val="32"/>
          <w:szCs w:val="32"/>
        </w:rPr>
        <w:t>§164.316(b)(2)(iii)</w:t>
      </w:r>
    </w:p>
    <w:p w14:paraId="2F8B90A0" w14:textId="77777777" w:rsidR="00BB1A0B" w:rsidRPr="00164651" w:rsidRDefault="00164651" w:rsidP="003A473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p>
    <w:p w14:paraId="59FD1ACE" w14:textId="1231A000" w:rsidR="002C1D73" w:rsidRPr="0054721F" w:rsidRDefault="002C1D73" w:rsidP="003A4738">
      <w:pPr>
        <w:pStyle w:val="Heading3"/>
        <w:tabs>
          <w:tab w:val="right" w:pos="10620"/>
        </w:tabs>
        <w:spacing w:after="80" w:line="276" w:lineRule="auto"/>
        <w:rPr>
          <w:sz w:val="24"/>
          <w:szCs w:val="24"/>
        </w:rPr>
      </w:pPr>
      <w:r w:rsidRPr="002C1D73">
        <w:rPr>
          <w:b/>
          <w:sz w:val="24"/>
          <w:szCs w:val="24"/>
        </w:rPr>
        <w:t>Policy Number:</w:t>
      </w:r>
      <w:r w:rsidR="0054721F">
        <w:rPr>
          <w:b/>
          <w:sz w:val="24"/>
          <w:szCs w:val="24"/>
        </w:rPr>
        <w:t xml:space="preserve"> </w:t>
      </w:r>
      <w:r w:rsidR="0054721F" w:rsidRPr="0054721F">
        <w:rPr>
          <w:sz w:val="24"/>
          <w:szCs w:val="24"/>
        </w:rPr>
        <w:t>&lt;If applicable&gt;</w:t>
      </w:r>
      <w:r>
        <w:rPr>
          <w:b/>
          <w:sz w:val="24"/>
          <w:szCs w:val="24"/>
        </w:rPr>
        <w:tab/>
      </w:r>
      <w:r w:rsidR="003A4738" w:rsidRPr="00164651">
        <w:rPr>
          <w:b/>
          <w:sz w:val="24"/>
          <w:szCs w:val="24"/>
        </w:rPr>
        <w:t xml:space="preserve">Rev. </w:t>
      </w:r>
      <w:r w:rsidR="006B1CED">
        <w:rPr>
          <w:sz w:val="24"/>
          <w:szCs w:val="24"/>
        </w:rPr>
        <w:t>0</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570C91A5" w14:textId="5A505080" w:rsidR="0054721F" w:rsidRPr="00BF632A" w:rsidRDefault="003A4738" w:rsidP="00602D10">
      <w:pPr>
        <w:spacing w:line="276" w:lineRule="auto"/>
        <w:rPr>
          <w:rFonts w:cs="Arial"/>
        </w:rPr>
      </w:pPr>
      <w:r w:rsidRPr="00BF632A">
        <w:rPr>
          <w:rFonts w:cs="Arial"/>
          <w:b/>
        </w:rPr>
        <w:t>Policy</w:t>
      </w:r>
      <w:r w:rsidR="00A02EF1" w:rsidRPr="00BF632A">
        <w:rPr>
          <w:rFonts w:cs="Arial"/>
          <w:b/>
        </w:rPr>
        <w:t>:</w:t>
      </w:r>
      <w:r w:rsidR="00DD1B29" w:rsidRPr="00BF632A">
        <w:rPr>
          <w:rFonts w:cs="Arial"/>
          <w:b/>
        </w:rPr>
        <w:t xml:space="preserve"> </w:t>
      </w:r>
      <w:r w:rsidR="006A266A" w:rsidRPr="00BF632A">
        <w:rPr>
          <w:rFonts w:cs="Arial"/>
        </w:rPr>
        <w:t xml:space="preserve">Our Security Official is responsible </w:t>
      </w:r>
      <w:r w:rsidR="00430A77">
        <w:rPr>
          <w:rFonts w:cs="Arial"/>
        </w:rPr>
        <w:t>for</w:t>
      </w:r>
      <w:r w:rsidR="006A266A" w:rsidRPr="00BF632A">
        <w:rPr>
          <w:rFonts w:cs="Arial"/>
        </w:rPr>
        <w:t xml:space="preserve"> maintain</w:t>
      </w:r>
      <w:r w:rsidR="00430A77">
        <w:rPr>
          <w:rFonts w:cs="Arial"/>
        </w:rPr>
        <w:t>ing</w:t>
      </w:r>
      <w:r w:rsidR="006A266A" w:rsidRPr="00BF632A">
        <w:rPr>
          <w:rFonts w:cs="Arial"/>
        </w:rPr>
        <w:t xml:space="preserve"> the HIPAA Security policies and procedures that we implement in our office. Th</w:t>
      </w:r>
      <w:r w:rsidR="00430A77">
        <w:rPr>
          <w:rFonts w:cs="Arial"/>
        </w:rPr>
        <w:t>is documentation is</w:t>
      </w:r>
      <w:r w:rsidR="006A266A" w:rsidRPr="00BF632A">
        <w:rPr>
          <w:rFonts w:cs="Arial"/>
        </w:rPr>
        <w:t xml:space="preserve"> maintained for 6 years in either paper or electronic format and made available to </w:t>
      </w:r>
      <w:r w:rsidR="00430A77">
        <w:rPr>
          <w:rFonts w:cs="Arial"/>
        </w:rPr>
        <w:t>workforce members</w:t>
      </w:r>
      <w:r w:rsidR="006A266A" w:rsidRPr="00BF632A">
        <w:rPr>
          <w:rFonts w:cs="Arial"/>
        </w:rPr>
        <w:t>. Our HIPAA Security Official will review the documentation annually and update it as needed.</w:t>
      </w:r>
    </w:p>
    <w:p w14:paraId="7A76930C" w14:textId="77777777" w:rsidR="0054721F" w:rsidRPr="00BF632A" w:rsidRDefault="0054721F">
      <w:pPr>
        <w:rPr>
          <w:rFonts w:cs="Arial"/>
        </w:rPr>
      </w:pPr>
    </w:p>
    <w:p w14:paraId="43624D63" w14:textId="7929EEF9" w:rsidR="006A266A" w:rsidRPr="00BF632A" w:rsidRDefault="0054721F" w:rsidP="006A266A">
      <w:pPr>
        <w:spacing w:line="276" w:lineRule="auto"/>
        <w:rPr>
          <w:rFonts w:cs="Arial"/>
        </w:rPr>
      </w:pPr>
      <w:r w:rsidRPr="00BF632A">
        <w:rPr>
          <w:rFonts w:cs="Arial"/>
          <w:b/>
        </w:rPr>
        <w:t>Procedures:</w:t>
      </w:r>
      <w:r w:rsidR="00DD1B29" w:rsidRPr="00BF632A">
        <w:rPr>
          <w:rFonts w:cs="Arial"/>
          <w:b/>
        </w:rPr>
        <w:t xml:space="preserve"> </w:t>
      </w:r>
      <w:r w:rsidR="006A266A" w:rsidRPr="00BF632A">
        <w:rPr>
          <w:rFonts w:cs="Arial"/>
        </w:rPr>
        <w:t xml:space="preserve">We must </w:t>
      </w:r>
      <w:r w:rsidR="006A266A">
        <w:rPr>
          <w:rFonts w:cs="Arial"/>
        </w:rPr>
        <w:t xml:space="preserve">develop and </w:t>
      </w:r>
      <w:r w:rsidR="006A266A" w:rsidRPr="00BF632A">
        <w:rPr>
          <w:rFonts w:cs="Arial"/>
        </w:rPr>
        <w:t xml:space="preserve">maintain the security policies and procedures we implement to comply with the HIPAA Security Rule in </w:t>
      </w:r>
      <w:r w:rsidR="006A266A">
        <w:rPr>
          <w:rFonts w:cs="Arial"/>
        </w:rPr>
        <w:t xml:space="preserve">a </w:t>
      </w:r>
      <w:r w:rsidR="006A266A" w:rsidRPr="00BF632A">
        <w:rPr>
          <w:rFonts w:cs="Arial"/>
        </w:rPr>
        <w:t xml:space="preserve">written (paper or electronic) form. If an action, activity, or assessment is required by the HIPAA Security Rule to be documented, we must maintain a written (paper or electronic) record of the action, activity, or assessment.  We retain such documentation for 6 years from the date of its creation or the date when it last was in effect, whichever is later. We make such required documentation available to all workforce members responsible for implementing the policies and procedures to which the documentation pertains. Our Security Official must review the required </w:t>
      </w:r>
      <w:r w:rsidR="006A266A">
        <w:rPr>
          <w:rFonts w:cs="Arial"/>
        </w:rPr>
        <w:t>d</w:t>
      </w:r>
      <w:r w:rsidR="006A266A" w:rsidRPr="00BF632A">
        <w:rPr>
          <w:rFonts w:cs="Arial"/>
        </w:rPr>
        <w:t>ocumentation annually and update it as needed and in response to environmental and/or operational changes affecting the confidentiality, integrity, and availability of our ePHI.</w:t>
      </w:r>
    </w:p>
    <w:p w14:paraId="247D2D19" w14:textId="77777777" w:rsidR="00A02EF1" w:rsidRPr="00A02EF1" w:rsidRDefault="00A02EF1">
      <w:pPr>
        <w:rPr>
          <w:rFonts w:cs="Arial"/>
        </w:rPr>
      </w:pPr>
    </w:p>
    <w:p w14:paraId="56F1139A" w14:textId="72415FE9" w:rsidR="006D0A8A" w:rsidRDefault="006D0A8A" w:rsidP="00657E2C">
      <w:pPr>
        <w:spacing w:line="276" w:lineRule="auto"/>
        <w:rPr>
          <w:rFonts w:cs="Arial"/>
        </w:rPr>
      </w:pPr>
      <w:r>
        <w:rPr>
          <w:rFonts w:cs="Arial"/>
          <w:b/>
        </w:rPr>
        <w:t>Details</w:t>
      </w:r>
      <w:r w:rsidRPr="00A02EF1">
        <w:rPr>
          <w:rFonts w:cs="Arial"/>
          <w:b/>
        </w:rPr>
        <w:t>:</w:t>
      </w:r>
      <w:r w:rsidR="00326B58">
        <w:rPr>
          <w:rFonts w:cs="Arial"/>
          <w:b/>
        </w:rPr>
        <w:t xml:space="preserve"> </w:t>
      </w:r>
      <w:r w:rsidR="00DA1988" w:rsidRPr="00DA1988">
        <w:rPr>
          <w:rFonts w:cs="Arial"/>
        </w:rPr>
        <w:t xml:space="preserve">The </w:t>
      </w:r>
      <w:r w:rsidR="00193265">
        <w:rPr>
          <w:rFonts w:cs="Arial"/>
        </w:rPr>
        <w:t xml:space="preserve">policies, procedures and documentation </w:t>
      </w:r>
      <w:r w:rsidR="008D0395">
        <w:rPr>
          <w:rFonts w:cs="Arial"/>
        </w:rPr>
        <w:t xml:space="preserve">procedures </w:t>
      </w:r>
      <w:r w:rsidR="00DA1988" w:rsidRPr="00DA1988">
        <w:rPr>
          <w:rFonts w:cs="Arial"/>
        </w:rPr>
        <w:t>include but are not limited to:</w:t>
      </w:r>
    </w:p>
    <w:p w14:paraId="1616F097" w14:textId="77777777" w:rsidR="006431AF" w:rsidRPr="00326B58" w:rsidRDefault="006431AF" w:rsidP="006431AF">
      <w:pPr>
        <w:rPr>
          <w:rFonts w:cs="Arial"/>
        </w:rPr>
      </w:pPr>
    </w:p>
    <w:p w14:paraId="73444A0E" w14:textId="7C9FDFE9" w:rsidR="00A12EEC" w:rsidRDefault="00A12EEC" w:rsidP="00A12EEC">
      <w:pPr>
        <w:pStyle w:val="ListParagraph"/>
        <w:numPr>
          <w:ilvl w:val="0"/>
          <w:numId w:val="4"/>
        </w:numPr>
        <w:spacing w:after="60"/>
        <w:contextualSpacing w:val="0"/>
        <w:rPr>
          <w:rFonts w:cs="Arial"/>
          <w:szCs w:val="22"/>
        </w:rPr>
      </w:pPr>
      <w:r>
        <w:rPr>
          <w:rFonts w:cs="Arial"/>
          <w:szCs w:val="22"/>
        </w:rPr>
        <w:t xml:space="preserve">The Security Official </w:t>
      </w:r>
      <w:r w:rsidRPr="00A12EEC">
        <w:rPr>
          <w:rFonts w:cs="Arial"/>
          <w:szCs w:val="22"/>
        </w:rPr>
        <w:t>will implement reasonable and appropriate policies and procedures to demonstrate its efforts to comply with the standards, implementation specifications or other requirements of the HIPAA Security Rule regulations in written (paper or electronic) form.</w:t>
      </w:r>
    </w:p>
    <w:p w14:paraId="4A5D4417" w14:textId="2B97C7B0" w:rsidR="000A4570" w:rsidRPr="00A12EEC" w:rsidRDefault="000A4570" w:rsidP="000A4570">
      <w:pPr>
        <w:pStyle w:val="ListParagraph"/>
        <w:numPr>
          <w:ilvl w:val="0"/>
          <w:numId w:val="4"/>
        </w:numPr>
        <w:spacing w:after="60"/>
        <w:contextualSpacing w:val="0"/>
        <w:rPr>
          <w:rFonts w:cs="Arial"/>
          <w:szCs w:val="22"/>
        </w:rPr>
      </w:pPr>
      <w:r>
        <w:rPr>
          <w:rFonts w:cs="Arial"/>
          <w:szCs w:val="22"/>
        </w:rPr>
        <w:t>P</w:t>
      </w:r>
      <w:r w:rsidRPr="00A12EEC">
        <w:rPr>
          <w:rFonts w:cs="Arial"/>
          <w:szCs w:val="22"/>
        </w:rPr>
        <w:t xml:space="preserve">olicies and procedures </w:t>
      </w:r>
      <w:r>
        <w:rPr>
          <w:rFonts w:cs="Arial"/>
          <w:szCs w:val="22"/>
        </w:rPr>
        <w:t xml:space="preserve">may be changed </w:t>
      </w:r>
      <w:r w:rsidRPr="00A12EEC">
        <w:rPr>
          <w:rFonts w:cs="Arial"/>
          <w:szCs w:val="22"/>
        </w:rPr>
        <w:t>at any time, provided that the changes are documented and are implemented in accordance with the HIPAA regulation.</w:t>
      </w:r>
    </w:p>
    <w:p w14:paraId="7709F8B3" w14:textId="263CE560" w:rsidR="000A4570" w:rsidRPr="00A12EEC" w:rsidRDefault="000A4570" w:rsidP="000A4570">
      <w:pPr>
        <w:pStyle w:val="ListParagraph"/>
        <w:numPr>
          <w:ilvl w:val="0"/>
          <w:numId w:val="4"/>
        </w:numPr>
        <w:spacing w:after="60"/>
        <w:contextualSpacing w:val="0"/>
        <w:rPr>
          <w:rFonts w:cs="Arial"/>
          <w:szCs w:val="22"/>
        </w:rPr>
      </w:pPr>
      <w:r>
        <w:rPr>
          <w:rFonts w:cs="Arial"/>
          <w:szCs w:val="22"/>
        </w:rPr>
        <w:t>W</w:t>
      </w:r>
      <w:r w:rsidRPr="00A12EEC">
        <w:rPr>
          <w:rFonts w:cs="Arial"/>
          <w:szCs w:val="22"/>
        </w:rPr>
        <w:t xml:space="preserve">orkforce members will be </w:t>
      </w:r>
      <w:r>
        <w:rPr>
          <w:rFonts w:cs="Arial"/>
          <w:szCs w:val="22"/>
        </w:rPr>
        <w:t xml:space="preserve">trained on </w:t>
      </w:r>
      <w:r w:rsidRPr="00A12EEC">
        <w:rPr>
          <w:rFonts w:cs="Arial"/>
          <w:szCs w:val="22"/>
        </w:rPr>
        <w:t>all policies and procedures that apply to them based on their individual roles.</w:t>
      </w:r>
    </w:p>
    <w:p w14:paraId="74EECBAB" w14:textId="5DA9F645" w:rsidR="00A12EEC" w:rsidRPr="00A12EEC" w:rsidRDefault="00A12EEC" w:rsidP="00A12EEC">
      <w:pPr>
        <w:pStyle w:val="ListParagraph"/>
        <w:numPr>
          <w:ilvl w:val="0"/>
          <w:numId w:val="4"/>
        </w:numPr>
        <w:spacing w:after="60"/>
        <w:contextualSpacing w:val="0"/>
        <w:rPr>
          <w:rFonts w:cs="Arial"/>
          <w:szCs w:val="22"/>
        </w:rPr>
      </w:pPr>
      <w:r>
        <w:rPr>
          <w:rFonts w:cs="Arial"/>
          <w:szCs w:val="22"/>
        </w:rPr>
        <w:t>P</w:t>
      </w:r>
      <w:r w:rsidRPr="00A12EEC">
        <w:rPr>
          <w:rFonts w:cs="Arial"/>
          <w:szCs w:val="22"/>
        </w:rPr>
        <w:t xml:space="preserve">olicies and procedures </w:t>
      </w:r>
      <w:r>
        <w:rPr>
          <w:rFonts w:cs="Arial"/>
          <w:szCs w:val="22"/>
        </w:rPr>
        <w:t xml:space="preserve">will be retained along with </w:t>
      </w:r>
      <w:r w:rsidRPr="00A12EEC">
        <w:rPr>
          <w:rFonts w:cs="Arial"/>
          <w:szCs w:val="22"/>
        </w:rPr>
        <w:t xml:space="preserve">any other action, activity, or </w:t>
      </w:r>
      <w:r w:rsidR="0061170D">
        <w:rPr>
          <w:rFonts w:cs="Arial"/>
          <w:szCs w:val="22"/>
        </w:rPr>
        <w:t>assessment</w:t>
      </w:r>
      <w:r w:rsidRPr="00A12EEC">
        <w:rPr>
          <w:rFonts w:cs="Arial"/>
          <w:szCs w:val="22"/>
        </w:rPr>
        <w:t xml:space="preserve"> that must be documented and maintained under this regulation for at least six years from the date of the creation of the documentation, or the date when the document was last in effect, whichever is later.</w:t>
      </w:r>
    </w:p>
    <w:p w14:paraId="4E399F2C" w14:textId="5A296DAD" w:rsidR="00A12EEC" w:rsidRPr="00A12EEC" w:rsidRDefault="00A12EEC" w:rsidP="00A12EEC">
      <w:pPr>
        <w:pStyle w:val="ListParagraph"/>
        <w:numPr>
          <w:ilvl w:val="0"/>
          <w:numId w:val="4"/>
        </w:numPr>
        <w:spacing w:after="60"/>
        <w:contextualSpacing w:val="0"/>
        <w:rPr>
          <w:rFonts w:cs="Arial"/>
          <w:szCs w:val="22"/>
        </w:rPr>
      </w:pPr>
      <w:r>
        <w:rPr>
          <w:rFonts w:cs="Arial"/>
          <w:szCs w:val="22"/>
        </w:rPr>
        <w:t>P</w:t>
      </w:r>
      <w:r w:rsidRPr="00A12EEC">
        <w:rPr>
          <w:rFonts w:cs="Arial"/>
          <w:szCs w:val="22"/>
        </w:rPr>
        <w:t xml:space="preserve">olicies and procedures documentation </w:t>
      </w:r>
      <w:r>
        <w:rPr>
          <w:rFonts w:cs="Arial"/>
          <w:szCs w:val="22"/>
        </w:rPr>
        <w:t xml:space="preserve">will be made </w:t>
      </w:r>
      <w:r w:rsidRPr="00A12EEC">
        <w:rPr>
          <w:rFonts w:cs="Arial"/>
          <w:szCs w:val="22"/>
        </w:rPr>
        <w:t xml:space="preserve">available </w:t>
      </w:r>
      <w:r w:rsidR="000A4570" w:rsidRPr="00A12EEC">
        <w:rPr>
          <w:rFonts w:cs="Arial"/>
          <w:szCs w:val="22"/>
        </w:rPr>
        <w:t>(via paper or electronic</w:t>
      </w:r>
      <w:r w:rsidR="000A4570">
        <w:rPr>
          <w:rFonts w:cs="Arial"/>
          <w:szCs w:val="22"/>
        </w:rPr>
        <w:t>ally</w:t>
      </w:r>
      <w:r w:rsidR="000A4570" w:rsidRPr="00A12EEC">
        <w:rPr>
          <w:rFonts w:cs="Arial"/>
          <w:szCs w:val="22"/>
        </w:rPr>
        <w:t xml:space="preserve">) </w:t>
      </w:r>
      <w:r w:rsidRPr="00A12EEC">
        <w:rPr>
          <w:rFonts w:cs="Arial"/>
          <w:szCs w:val="22"/>
        </w:rPr>
        <w:t>to all workforce members responsible for implementing the policies and procedures to which the documentation pertains.</w:t>
      </w:r>
    </w:p>
    <w:p w14:paraId="5E53D863" w14:textId="2F6F379A" w:rsidR="00A12EEC" w:rsidRPr="00A12EEC" w:rsidRDefault="00A12EEC" w:rsidP="00A12EEC">
      <w:pPr>
        <w:pStyle w:val="ListParagraph"/>
        <w:numPr>
          <w:ilvl w:val="0"/>
          <w:numId w:val="4"/>
        </w:numPr>
        <w:spacing w:after="60"/>
        <w:contextualSpacing w:val="0"/>
        <w:rPr>
          <w:rFonts w:cs="Arial"/>
          <w:szCs w:val="22"/>
        </w:rPr>
      </w:pPr>
      <w:r>
        <w:rPr>
          <w:rFonts w:cs="Arial"/>
          <w:szCs w:val="22"/>
        </w:rPr>
        <w:t xml:space="preserve">The </w:t>
      </w:r>
      <w:r w:rsidRPr="00A12EEC">
        <w:rPr>
          <w:rFonts w:cs="Arial"/>
          <w:szCs w:val="22"/>
        </w:rPr>
        <w:t xml:space="preserve">Security Official will oversee the review all policies and procedures on an annual basis and updated as necessary. Policies and procedures may also be reviewed outside of the cycle, in response to environmental or operational changes (e.g. to comply with a change in law) affecting the security of the ePHI. </w:t>
      </w:r>
    </w:p>
    <w:p w14:paraId="1A2655FB" w14:textId="5F506193" w:rsidR="003A5828" w:rsidRPr="00F302DD" w:rsidRDefault="003A5828" w:rsidP="00A12EEC">
      <w:pPr>
        <w:pStyle w:val="ListParagraph"/>
        <w:numPr>
          <w:ilvl w:val="0"/>
          <w:numId w:val="3"/>
        </w:numPr>
        <w:rPr>
          <w:rFonts w:cs="Arial"/>
        </w:rPr>
      </w:pPr>
      <w:r w:rsidRPr="00F302DD">
        <w:rPr>
          <w:rFonts w:cs="Arial"/>
        </w:rPr>
        <w:t xml:space="preserve">Documentation (e.g. </w:t>
      </w:r>
      <w:r w:rsidR="000A4570" w:rsidRPr="00AB7959">
        <w:rPr>
          <w:rFonts w:cs="Calibri"/>
        </w:rPr>
        <w:t>policies and procedures, training</w:t>
      </w:r>
      <w:r w:rsidRPr="00F302DD">
        <w:rPr>
          <w:rFonts w:cs="Arial"/>
        </w:rPr>
        <w:t>) of the practices in place will be retained as evidence of compliance.</w:t>
      </w:r>
    </w:p>
    <w:p w14:paraId="7989D142" w14:textId="77777777" w:rsidR="006D0A8A" w:rsidRDefault="006D0A8A" w:rsidP="002048E0">
      <w:pPr>
        <w:rPr>
          <w:rFonts w:cs="Arial"/>
          <w:b/>
        </w:rPr>
      </w:pPr>
    </w:p>
    <w:p w14:paraId="058BB2FC" w14:textId="0C079D6C" w:rsidR="00A02EF1" w:rsidRDefault="003A4738" w:rsidP="00657E2C">
      <w:pPr>
        <w:spacing w:line="276" w:lineRule="auto"/>
        <w:rPr>
          <w:rFonts w:cs="Arial"/>
        </w:rPr>
      </w:pPr>
      <w:r>
        <w:rPr>
          <w:rFonts w:cs="Arial"/>
          <w:b/>
        </w:rPr>
        <w:t>Location of supporting documentation</w:t>
      </w:r>
      <w:r w:rsidR="00A02EF1" w:rsidRPr="00A02EF1">
        <w:rPr>
          <w:rFonts w:cs="Arial"/>
          <w:b/>
        </w:rPr>
        <w:t>:</w:t>
      </w:r>
      <w:r w:rsidR="00657E2C">
        <w:rPr>
          <w:rFonts w:cs="Arial"/>
          <w:b/>
        </w:rPr>
        <w:t xml:space="preserve"> </w:t>
      </w:r>
      <w:r>
        <w:rPr>
          <w:rFonts w:cs="Arial"/>
        </w:rPr>
        <w:t>If so, identify the document and location it is stored</w:t>
      </w:r>
      <w:r w:rsidR="0054721F">
        <w:rPr>
          <w:rFonts w:cs="Arial"/>
        </w:rPr>
        <w:t xml:space="preserve"> here.</w:t>
      </w:r>
    </w:p>
    <w:p w14:paraId="5B5E2D4F" w14:textId="77777777" w:rsidR="00A02EF1" w:rsidRDefault="00A02EF1">
      <w:pPr>
        <w:rPr>
          <w:rFonts w:cs="Arial"/>
        </w:rPr>
      </w:pPr>
    </w:p>
    <w:p w14:paraId="3D625027" w14:textId="77777777" w:rsidR="00733481" w:rsidRDefault="00733481">
      <w:pPr>
        <w:rPr>
          <w:sz w:val="22"/>
        </w:rPr>
      </w:pPr>
    </w:p>
    <w:p w14:paraId="211EBC4D" w14:textId="77777777" w:rsidR="00733481" w:rsidRDefault="00733481">
      <w:pPr>
        <w:rPr>
          <w:sz w:val="22"/>
        </w:rPr>
      </w:pPr>
    </w:p>
    <w:p w14:paraId="01BF9444" w14:textId="77777777" w:rsidR="00733481" w:rsidRPr="00B272D7" w:rsidRDefault="00733481" w:rsidP="00612AF3">
      <w:pPr>
        <w:pStyle w:val="Heading2"/>
        <w:pageBreakBefore/>
        <w:pBdr>
          <w:bottom w:val="single" w:sz="4" w:space="0" w:color="auto"/>
        </w:pBdr>
        <w:jc w:val="left"/>
        <w:rPr>
          <w:noProof/>
          <w:color w:val="37434C"/>
          <w:sz w:val="44"/>
          <w:szCs w:val="44"/>
        </w:rPr>
      </w:pPr>
      <w:r w:rsidRPr="00B272D7">
        <w:rPr>
          <w:noProof/>
          <w:color w:val="37434C"/>
          <w:sz w:val="44"/>
          <w:szCs w:val="44"/>
        </w:rPr>
        <w:lastRenderedPageBreak/>
        <w:t>REVISION HISTORY</w:t>
      </w:r>
    </w:p>
    <w:p w14:paraId="2DA794B3" w14:textId="77777777" w:rsidR="00733481" w:rsidRPr="009C202C" w:rsidRDefault="00733481">
      <w:pPr>
        <w:rPr>
          <w:sz w:val="12"/>
          <w:szCs w:val="12"/>
        </w:rPr>
      </w:pPr>
    </w:p>
    <w:tbl>
      <w:tblPr>
        <w:tblW w:w="10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43" w:type="dxa"/>
          <w:bottom w:w="86" w:type="dxa"/>
          <w:right w:w="43" w:type="dxa"/>
        </w:tblCellMar>
        <w:tblLook w:val="00A0" w:firstRow="1" w:lastRow="0" w:firstColumn="1" w:lastColumn="0" w:noHBand="0" w:noVBand="0"/>
      </w:tblPr>
      <w:tblGrid>
        <w:gridCol w:w="990"/>
        <w:gridCol w:w="1915"/>
        <w:gridCol w:w="1987"/>
        <w:gridCol w:w="5962"/>
      </w:tblGrid>
      <w:tr w:rsidR="00733481" w:rsidRPr="001D73FF" w14:paraId="2B00AA2B" w14:textId="77777777" w:rsidTr="006D346C">
        <w:trPr>
          <w:tblHeader/>
          <w:jc w:val="center"/>
        </w:trPr>
        <w:tc>
          <w:tcPr>
            <w:tcW w:w="990" w:type="dxa"/>
            <w:tcBorders>
              <w:bottom w:val="single" w:sz="4" w:space="0" w:color="auto"/>
            </w:tcBorders>
            <w:shd w:val="solid" w:color="37434C" w:fill="FFFFFF"/>
          </w:tcPr>
          <w:p w14:paraId="11006003" w14:textId="77777777" w:rsidR="00733481" w:rsidRPr="005D3A85" w:rsidRDefault="00733481" w:rsidP="006D346C">
            <w:pPr>
              <w:jc w:val="center"/>
              <w:rPr>
                <w:rFonts w:cs="Arial"/>
                <w:noProof/>
                <w:color w:val="FFFFFF"/>
              </w:rPr>
            </w:pPr>
            <w:r w:rsidRPr="005D3A85">
              <w:rPr>
                <w:rFonts w:cs="Arial"/>
                <w:noProof/>
                <w:color w:val="FFFFFF"/>
              </w:rPr>
              <w:t>Revision</w:t>
            </w:r>
          </w:p>
        </w:tc>
        <w:tc>
          <w:tcPr>
            <w:tcW w:w="1915" w:type="dxa"/>
            <w:tcBorders>
              <w:bottom w:val="single" w:sz="4" w:space="0" w:color="auto"/>
            </w:tcBorders>
            <w:shd w:val="solid" w:color="37434C" w:fill="FFFFFF"/>
          </w:tcPr>
          <w:p w14:paraId="56701A6C" w14:textId="77777777" w:rsidR="00733481" w:rsidRPr="005D3A85" w:rsidRDefault="00733481" w:rsidP="006D346C">
            <w:pPr>
              <w:jc w:val="center"/>
              <w:rPr>
                <w:rFonts w:cs="Arial"/>
                <w:noProof/>
                <w:color w:val="FFFFFF"/>
              </w:rPr>
            </w:pPr>
            <w:r w:rsidRPr="005D3A85">
              <w:rPr>
                <w:rFonts w:cs="Arial"/>
                <w:noProof/>
                <w:color w:val="FFFFFF"/>
              </w:rPr>
              <w:t>Date</w:t>
            </w:r>
          </w:p>
        </w:tc>
        <w:tc>
          <w:tcPr>
            <w:tcW w:w="1987" w:type="dxa"/>
            <w:tcBorders>
              <w:bottom w:val="single" w:sz="4" w:space="0" w:color="auto"/>
            </w:tcBorders>
            <w:shd w:val="solid" w:color="37434C" w:fill="FFFFFF"/>
          </w:tcPr>
          <w:p w14:paraId="25B27814" w14:textId="77777777" w:rsidR="00733481" w:rsidRPr="005D3A85" w:rsidRDefault="00733481" w:rsidP="006D346C">
            <w:pPr>
              <w:jc w:val="center"/>
              <w:rPr>
                <w:rFonts w:cs="Arial"/>
                <w:noProof/>
                <w:color w:val="FFFFFF"/>
              </w:rPr>
            </w:pPr>
            <w:r w:rsidRPr="005D3A85">
              <w:rPr>
                <w:rFonts w:cs="Arial"/>
                <w:noProof/>
                <w:color w:val="FFFFFF"/>
              </w:rPr>
              <w:t>Initiator</w:t>
            </w:r>
          </w:p>
        </w:tc>
        <w:tc>
          <w:tcPr>
            <w:tcW w:w="5962" w:type="dxa"/>
            <w:tcBorders>
              <w:bottom w:val="single" w:sz="4" w:space="0" w:color="auto"/>
            </w:tcBorders>
            <w:shd w:val="solid" w:color="37434C" w:fill="FFFFFF"/>
          </w:tcPr>
          <w:p w14:paraId="4AB55EBF" w14:textId="77777777" w:rsidR="00733481" w:rsidRPr="005D3A85" w:rsidRDefault="00733481" w:rsidP="006D346C">
            <w:pPr>
              <w:rPr>
                <w:rFonts w:cs="Arial"/>
                <w:noProof/>
                <w:color w:val="FFFFFF"/>
              </w:rPr>
            </w:pPr>
            <w:r w:rsidRPr="005D3A85">
              <w:rPr>
                <w:rFonts w:cs="Arial"/>
                <w:noProof/>
                <w:color w:val="FFFFFF"/>
              </w:rPr>
              <w:t>Nature of Change</w:t>
            </w:r>
          </w:p>
        </w:tc>
      </w:tr>
      <w:tr w:rsidR="00733481" w:rsidRPr="001D73FF" w14:paraId="5F9C1E1D" w14:textId="77777777" w:rsidTr="006D346C">
        <w:trPr>
          <w:jc w:val="center"/>
        </w:trPr>
        <w:tc>
          <w:tcPr>
            <w:tcW w:w="990" w:type="dxa"/>
            <w:shd w:val="clear" w:color="auto" w:fill="85A9C2"/>
          </w:tcPr>
          <w:p w14:paraId="538CF2DC" w14:textId="77777777" w:rsidR="00733481" w:rsidRPr="001D73FF" w:rsidRDefault="00733481" w:rsidP="006D346C">
            <w:pPr>
              <w:jc w:val="center"/>
              <w:rPr>
                <w:rFonts w:cs="Arial"/>
                <w:noProof/>
              </w:rPr>
            </w:pPr>
            <w:r w:rsidRPr="001D73FF">
              <w:rPr>
                <w:rFonts w:cs="Arial"/>
                <w:noProof/>
              </w:rPr>
              <w:t>0</w:t>
            </w:r>
          </w:p>
        </w:tc>
        <w:tc>
          <w:tcPr>
            <w:tcW w:w="1915" w:type="dxa"/>
            <w:shd w:val="clear" w:color="000000" w:fill="C6C58F"/>
          </w:tcPr>
          <w:p w14:paraId="614DC773" w14:textId="77777777" w:rsidR="00733481" w:rsidRPr="001D73FF" w:rsidRDefault="00733481" w:rsidP="006D346C">
            <w:pPr>
              <w:jc w:val="center"/>
              <w:rPr>
                <w:rFonts w:cs="Arial"/>
                <w:noProof/>
              </w:rPr>
            </w:pPr>
          </w:p>
        </w:tc>
        <w:tc>
          <w:tcPr>
            <w:tcW w:w="1987" w:type="dxa"/>
            <w:shd w:val="solid" w:color="85A9C2" w:fill="FFFFFF"/>
          </w:tcPr>
          <w:p w14:paraId="7FE96555" w14:textId="77777777" w:rsidR="00733481" w:rsidRPr="001D73FF" w:rsidRDefault="00733481" w:rsidP="006D346C">
            <w:pPr>
              <w:jc w:val="center"/>
              <w:rPr>
                <w:rFonts w:cs="Arial"/>
                <w:noProof/>
              </w:rPr>
            </w:pPr>
          </w:p>
        </w:tc>
        <w:tc>
          <w:tcPr>
            <w:tcW w:w="5962" w:type="dxa"/>
            <w:shd w:val="clear" w:color="000000" w:fill="C6C58F"/>
          </w:tcPr>
          <w:p w14:paraId="37E176EC" w14:textId="77777777" w:rsidR="00733481" w:rsidRPr="001D73FF" w:rsidRDefault="00733481" w:rsidP="005B7D1F">
            <w:pPr>
              <w:rPr>
                <w:rFonts w:cs="Arial"/>
                <w:noProof/>
              </w:rPr>
            </w:pPr>
            <w:r w:rsidRPr="001D73FF">
              <w:rPr>
                <w:rFonts w:cs="Arial"/>
                <w:noProof/>
              </w:rPr>
              <w:t xml:space="preserve">Initial </w:t>
            </w:r>
            <w:r w:rsidR="005B7D1F">
              <w:rPr>
                <w:rFonts w:cs="Arial"/>
                <w:noProof/>
              </w:rPr>
              <w:t>draft</w:t>
            </w:r>
          </w:p>
        </w:tc>
      </w:tr>
      <w:tr w:rsidR="00733481" w:rsidRPr="001D73FF" w14:paraId="3E9A25BA" w14:textId="77777777" w:rsidTr="006D346C">
        <w:trPr>
          <w:jc w:val="center"/>
        </w:trPr>
        <w:tc>
          <w:tcPr>
            <w:tcW w:w="990" w:type="dxa"/>
            <w:tcBorders>
              <w:bottom w:val="single" w:sz="4" w:space="0" w:color="auto"/>
            </w:tcBorders>
            <w:shd w:val="clear" w:color="auto" w:fill="85A9C2"/>
          </w:tcPr>
          <w:p w14:paraId="033C2B56" w14:textId="77777777" w:rsidR="00733481" w:rsidRPr="001D73FF" w:rsidRDefault="00733481" w:rsidP="006D346C">
            <w:pPr>
              <w:jc w:val="center"/>
              <w:rPr>
                <w:rFonts w:cs="Arial"/>
                <w:noProof/>
              </w:rPr>
            </w:pPr>
            <w:r w:rsidRPr="001D73FF">
              <w:rPr>
                <w:rFonts w:cs="Arial"/>
                <w:noProof/>
              </w:rPr>
              <w:t>1</w:t>
            </w:r>
          </w:p>
        </w:tc>
        <w:tc>
          <w:tcPr>
            <w:tcW w:w="1915" w:type="dxa"/>
            <w:tcBorders>
              <w:bottom w:val="single" w:sz="4" w:space="0" w:color="auto"/>
            </w:tcBorders>
            <w:shd w:val="clear" w:color="000000" w:fill="C6C58F"/>
          </w:tcPr>
          <w:p w14:paraId="36572BD4" w14:textId="77777777" w:rsidR="00733481" w:rsidRPr="001D73FF" w:rsidRDefault="00733481" w:rsidP="006D346C">
            <w:pPr>
              <w:jc w:val="center"/>
              <w:rPr>
                <w:rFonts w:cs="Arial"/>
                <w:noProof/>
              </w:rPr>
            </w:pPr>
          </w:p>
        </w:tc>
        <w:tc>
          <w:tcPr>
            <w:tcW w:w="1987" w:type="dxa"/>
            <w:tcBorders>
              <w:bottom w:val="single" w:sz="4" w:space="0" w:color="auto"/>
            </w:tcBorders>
            <w:shd w:val="solid" w:color="85A9C2" w:fill="FFFFFF"/>
          </w:tcPr>
          <w:p w14:paraId="49393697" w14:textId="77777777" w:rsidR="00733481" w:rsidRPr="001D73FF" w:rsidRDefault="00733481" w:rsidP="006D346C">
            <w:pPr>
              <w:jc w:val="center"/>
              <w:rPr>
                <w:rFonts w:cs="Arial"/>
                <w:noProof/>
              </w:rPr>
            </w:pPr>
          </w:p>
        </w:tc>
        <w:tc>
          <w:tcPr>
            <w:tcW w:w="5962" w:type="dxa"/>
            <w:tcBorders>
              <w:bottom w:val="single" w:sz="4" w:space="0" w:color="auto"/>
            </w:tcBorders>
            <w:shd w:val="clear" w:color="000000" w:fill="C6C58F"/>
          </w:tcPr>
          <w:p w14:paraId="32F00FC7" w14:textId="77777777" w:rsidR="00733481" w:rsidRPr="001D73FF" w:rsidRDefault="00733481" w:rsidP="006D346C">
            <w:pPr>
              <w:rPr>
                <w:rFonts w:cs="Arial"/>
                <w:noProof/>
              </w:rPr>
            </w:pPr>
          </w:p>
        </w:tc>
      </w:tr>
    </w:tbl>
    <w:p w14:paraId="3AA621A5" w14:textId="77777777" w:rsidR="00733481" w:rsidRDefault="00733481"/>
    <w:p w14:paraId="12657EF3" w14:textId="77777777" w:rsidR="00733481" w:rsidRDefault="00733481">
      <w:pPr>
        <w:rPr>
          <w:sz w:val="22"/>
        </w:rPr>
      </w:pPr>
    </w:p>
    <w:sectPr w:rsidR="00733481"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43C52" w14:textId="77777777" w:rsidR="009034D1" w:rsidRDefault="009034D1">
      <w:r>
        <w:separator/>
      </w:r>
    </w:p>
  </w:endnote>
  <w:endnote w:type="continuationSeparator" w:id="0">
    <w:p w14:paraId="6B122686" w14:textId="77777777" w:rsidR="009034D1" w:rsidRDefault="00903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5A88A" w14:textId="1C3C0423" w:rsidR="006D346C" w:rsidRPr="00A02EF1" w:rsidRDefault="006D346C"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675B0F">
      <w:rPr>
        <w:rStyle w:val="PageNumber"/>
        <w:rFonts w:cs="Arial"/>
        <w:i w:val="0"/>
        <w:noProof/>
        <w:snapToGrid w:val="0"/>
        <w:sz w:val="16"/>
        <w:szCs w:val="16"/>
      </w:rPr>
      <w:t>1</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675B0F">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3D15C" w14:textId="77777777" w:rsidR="009034D1" w:rsidRDefault="009034D1">
      <w:r>
        <w:separator/>
      </w:r>
    </w:p>
  </w:footnote>
  <w:footnote w:type="continuationSeparator" w:id="0">
    <w:p w14:paraId="37AD1A50" w14:textId="77777777" w:rsidR="009034D1" w:rsidRDefault="009034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14DE6"/>
    <w:rsid w:val="00014E8B"/>
    <w:rsid w:val="00026614"/>
    <w:rsid w:val="00030ABC"/>
    <w:rsid w:val="00036E13"/>
    <w:rsid w:val="000472F1"/>
    <w:rsid w:val="00067A17"/>
    <w:rsid w:val="000A028E"/>
    <w:rsid w:val="000A4570"/>
    <w:rsid w:val="000A663E"/>
    <w:rsid w:val="000A7504"/>
    <w:rsid w:val="000C330B"/>
    <w:rsid w:val="000D25C5"/>
    <w:rsid w:val="000D6CEE"/>
    <w:rsid w:val="00105DEA"/>
    <w:rsid w:val="00111816"/>
    <w:rsid w:val="00133664"/>
    <w:rsid w:val="00150845"/>
    <w:rsid w:val="00152D23"/>
    <w:rsid w:val="00164651"/>
    <w:rsid w:val="00165169"/>
    <w:rsid w:val="00182881"/>
    <w:rsid w:val="0018318A"/>
    <w:rsid w:val="00193265"/>
    <w:rsid w:val="001A543A"/>
    <w:rsid w:val="001D73FF"/>
    <w:rsid w:val="001E0FCA"/>
    <w:rsid w:val="001E6D9E"/>
    <w:rsid w:val="001F1721"/>
    <w:rsid w:val="002006E1"/>
    <w:rsid w:val="002048E0"/>
    <w:rsid w:val="00204EEB"/>
    <w:rsid w:val="002144B2"/>
    <w:rsid w:val="002411DF"/>
    <w:rsid w:val="00257199"/>
    <w:rsid w:val="0028715C"/>
    <w:rsid w:val="002955DB"/>
    <w:rsid w:val="002959ED"/>
    <w:rsid w:val="002A5267"/>
    <w:rsid w:val="002A70A0"/>
    <w:rsid w:val="002C1D73"/>
    <w:rsid w:val="002D7FB8"/>
    <w:rsid w:val="002E7A8B"/>
    <w:rsid w:val="00300B01"/>
    <w:rsid w:val="00311462"/>
    <w:rsid w:val="0031655D"/>
    <w:rsid w:val="003257D7"/>
    <w:rsid w:val="00326B58"/>
    <w:rsid w:val="00340D85"/>
    <w:rsid w:val="003466F1"/>
    <w:rsid w:val="003522E6"/>
    <w:rsid w:val="00364409"/>
    <w:rsid w:val="003868D0"/>
    <w:rsid w:val="00394B7A"/>
    <w:rsid w:val="003A4738"/>
    <w:rsid w:val="003A5828"/>
    <w:rsid w:val="003B02F7"/>
    <w:rsid w:val="004125D9"/>
    <w:rsid w:val="00430A77"/>
    <w:rsid w:val="00454502"/>
    <w:rsid w:val="0046343D"/>
    <w:rsid w:val="00466E1B"/>
    <w:rsid w:val="00481851"/>
    <w:rsid w:val="00483F71"/>
    <w:rsid w:val="004D3A43"/>
    <w:rsid w:val="004E6B9A"/>
    <w:rsid w:val="004E7DE2"/>
    <w:rsid w:val="004F43B6"/>
    <w:rsid w:val="00506871"/>
    <w:rsid w:val="00512761"/>
    <w:rsid w:val="005312A2"/>
    <w:rsid w:val="0054721F"/>
    <w:rsid w:val="00564D57"/>
    <w:rsid w:val="00567FF7"/>
    <w:rsid w:val="00571019"/>
    <w:rsid w:val="005808DF"/>
    <w:rsid w:val="00584643"/>
    <w:rsid w:val="005B7D1F"/>
    <w:rsid w:val="005C0D7F"/>
    <w:rsid w:val="005D3A85"/>
    <w:rsid w:val="005D5A78"/>
    <w:rsid w:val="005E3A86"/>
    <w:rsid w:val="005F7952"/>
    <w:rsid w:val="00600BE9"/>
    <w:rsid w:val="00602D10"/>
    <w:rsid w:val="0061170D"/>
    <w:rsid w:val="00612AF3"/>
    <w:rsid w:val="0061742B"/>
    <w:rsid w:val="0063585F"/>
    <w:rsid w:val="006431AF"/>
    <w:rsid w:val="0065743E"/>
    <w:rsid w:val="00657E2C"/>
    <w:rsid w:val="00667A83"/>
    <w:rsid w:val="0067082C"/>
    <w:rsid w:val="00675B0F"/>
    <w:rsid w:val="00686D59"/>
    <w:rsid w:val="006900D7"/>
    <w:rsid w:val="006970A3"/>
    <w:rsid w:val="006A266A"/>
    <w:rsid w:val="006B1CED"/>
    <w:rsid w:val="006D0A8A"/>
    <w:rsid w:val="006D346C"/>
    <w:rsid w:val="006F4F9E"/>
    <w:rsid w:val="006F7C89"/>
    <w:rsid w:val="0071276C"/>
    <w:rsid w:val="0072273A"/>
    <w:rsid w:val="00723D3A"/>
    <w:rsid w:val="00733481"/>
    <w:rsid w:val="00734D07"/>
    <w:rsid w:val="00735247"/>
    <w:rsid w:val="0074401D"/>
    <w:rsid w:val="00755180"/>
    <w:rsid w:val="00763A04"/>
    <w:rsid w:val="00764403"/>
    <w:rsid w:val="00792A2D"/>
    <w:rsid w:val="007946AF"/>
    <w:rsid w:val="007C7054"/>
    <w:rsid w:val="007F0219"/>
    <w:rsid w:val="00824336"/>
    <w:rsid w:val="00834194"/>
    <w:rsid w:val="0084412A"/>
    <w:rsid w:val="00872BDC"/>
    <w:rsid w:val="00872D56"/>
    <w:rsid w:val="00884DA3"/>
    <w:rsid w:val="00887562"/>
    <w:rsid w:val="008A29D1"/>
    <w:rsid w:val="008A534E"/>
    <w:rsid w:val="008A6B8A"/>
    <w:rsid w:val="008B7231"/>
    <w:rsid w:val="008C5212"/>
    <w:rsid w:val="008D0395"/>
    <w:rsid w:val="008E572F"/>
    <w:rsid w:val="008F01B8"/>
    <w:rsid w:val="009034D1"/>
    <w:rsid w:val="00903D7F"/>
    <w:rsid w:val="00920667"/>
    <w:rsid w:val="00931A1C"/>
    <w:rsid w:val="0093418E"/>
    <w:rsid w:val="00935AA9"/>
    <w:rsid w:val="009516B7"/>
    <w:rsid w:val="009541BA"/>
    <w:rsid w:val="009C202C"/>
    <w:rsid w:val="009D2631"/>
    <w:rsid w:val="00A02EF1"/>
    <w:rsid w:val="00A107DE"/>
    <w:rsid w:val="00A12EEC"/>
    <w:rsid w:val="00A25BD1"/>
    <w:rsid w:val="00A317DF"/>
    <w:rsid w:val="00A32476"/>
    <w:rsid w:val="00A44AE9"/>
    <w:rsid w:val="00A7414E"/>
    <w:rsid w:val="00AB2F55"/>
    <w:rsid w:val="00AB5909"/>
    <w:rsid w:val="00AD2D03"/>
    <w:rsid w:val="00AE04C0"/>
    <w:rsid w:val="00AF5D70"/>
    <w:rsid w:val="00B15639"/>
    <w:rsid w:val="00B2024C"/>
    <w:rsid w:val="00B25A85"/>
    <w:rsid w:val="00B272D7"/>
    <w:rsid w:val="00B32D35"/>
    <w:rsid w:val="00B42456"/>
    <w:rsid w:val="00B4751C"/>
    <w:rsid w:val="00B720C1"/>
    <w:rsid w:val="00B72903"/>
    <w:rsid w:val="00B80D2E"/>
    <w:rsid w:val="00BA3D4A"/>
    <w:rsid w:val="00BB1A0B"/>
    <w:rsid w:val="00BB2BE2"/>
    <w:rsid w:val="00BC3593"/>
    <w:rsid w:val="00BF632A"/>
    <w:rsid w:val="00C77980"/>
    <w:rsid w:val="00D028E5"/>
    <w:rsid w:val="00D02E9B"/>
    <w:rsid w:val="00D20BE6"/>
    <w:rsid w:val="00DA1988"/>
    <w:rsid w:val="00DA413C"/>
    <w:rsid w:val="00DA754F"/>
    <w:rsid w:val="00DB1C64"/>
    <w:rsid w:val="00DC3C85"/>
    <w:rsid w:val="00DD1B29"/>
    <w:rsid w:val="00DD3A42"/>
    <w:rsid w:val="00DD5811"/>
    <w:rsid w:val="00DE7733"/>
    <w:rsid w:val="00E171F8"/>
    <w:rsid w:val="00E56466"/>
    <w:rsid w:val="00E75435"/>
    <w:rsid w:val="00E8083C"/>
    <w:rsid w:val="00EC4A28"/>
    <w:rsid w:val="00EC4FDA"/>
    <w:rsid w:val="00EE06F5"/>
    <w:rsid w:val="00EF1261"/>
    <w:rsid w:val="00EF54C7"/>
    <w:rsid w:val="00F06D58"/>
    <w:rsid w:val="00F12407"/>
    <w:rsid w:val="00F210E7"/>
    <w:rsid w:val="00F302DD"/>
    <w:rsid w:val="00F4557F"/>
    <w:rsid w:val="00F56458"/>
    <w:rsid w:val="00F71898"/>
    <w:rsid w:val="00F75131"/>
    <w:rsid w:val="00F756E9"/>
    <w:rsid w:val="00F845FB"/>
    <w:rsid w:val="00F971F1"/>
    <w:rsid w:val="00FB0A74"/>
    <w:rsid w:val="00FB3AE2"/>
    <w:rsid w:val="00FC5A70"/>
    <w:rsid w:val="00FD0D54"/>
    <w:rsid w:val="00FD112A"/>
    <w:rsid w:val="00FD25D4"/>
    <w:rsid w:val="00FD388C"/>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2.xml><?xml version="1.0" encoding="utf-8"?>
<ds:datastoreItem xmlns:ds="http://schemas.openxmlformats.org/officeDocument/2006/customXml" ds:itemID="{480DC5FA-6A48-429B-B83C-BBF117110683}">
  <ds:schemaRefs>
    <ds:schemaRef ds:uri="http://schemas.microsoft.com/office/2006/metadata/properties"/>
  </ds:schemaRefs>
</ds:datastoreItem>
</file>

<file path=customXml/itemProps3.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4.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9BD2C43-8FE3-4994-8B91-364CDA1E4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3295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Silvia Radvak</cp:lastModifiedBy>
  <cp:revision>23</cp:revision>
  <cp:lastPrinted>2000-10-12T21:12:00Z</cp:lastPrinted>
  <dcterms:created xsi:type="dcterms:W3CDTF">2015-05-26T15:17:00Z</dcterms:created>
  <dcterms:modified xsi:type="dcterms:W3CDTF">2016-03-09T00:14:00Z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