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2F7F0727"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2F7F0727"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5AE181B1" w:rsidR="00733481" w:rsidRPr="00164651" w:rsidRDefault="00777C63" w:rsidP="003A4738">
      <w:pPr>
        <w:pStyle w:val="Heading3"/>
        <w:spacing w:before="80" w:line="276" w:lineRule="auto"/>
        <w:rPr>
          <w:b/>
          <w:szCs w:val="32"/>
        </w:rPr>
      </w:pPr>
      <w:r w:rsidRPr="00777C63">
        <w:rPr>
          <w:b/>
          <w:szCs w:val="32"/>
        </w:rPr>
        <w:t xml:space="preserve">Mechanism </w:t>
      </w:r>
      <w:r w:rsidR="006F161F" w:rsidRPr="00777C63">
        <w:rPr>
          <w:b/>
          <w:szCs w:val="32"/>
        </w:rPr>
        <w:t>to</w:t>
      </w:r>
      <w:r w:rsidRPr="00777C63">
        <w:rPr>
          <w:b/>
          <w:szCs w:val="32"/>
        </w:rPr>
        <w:t xml:space="preserve"> Authenticate Electronic Protected Health Information</w:t>
      </w:r>
      <w:r>
        <w:rPr>
          <w:b/>
          <w:szCs w:val="32"/>
        </w:rPr>
        <w:t xml:space="preserve"> </w:t>
      </w:r>
      <w:r w:rsidRPr="00777C63">
        <w:rPr>
          <w:b/>
          <w:szCs w:val="32"/>
        </w:rPr>
        <w:t>§164.312(c)(2)</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7972C1AE"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7F4512">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572634ED" w:rsidR="0054721F" w:rsidRPr="00E419AD" w:rsidRDefault="003A4738" w:rsidP="00602D10">
      <w:pPr>
        <w:spacing w:line="276" w:lineRule="auto"/>
        <w:rPr>
          <w:rFonts w:cs="Arial"/>
        </w:rPr>
      </w:pPr>
      <w:r w:rsidRPr="00E419AD">
        <w:rPr>
          <w:rFonts w:cs="Arial"/>
          <w:b/>
        </w:rPr>
        <w:t>Policy</w:t>
      </w:r>
      <w:r w:rsidR="00A02EF1" w:rsidRPr="00E419AD">
        <w:rPr>
          <w:rFonts w:cs="Arial"/>
          <w:b/>
        </w:rPr>
        <w:t>:</w:t>
      </w:r>
      <w:r w:rsidR="00777C63" w:rsidRPr="00E419AD">
        <w:rPr>
          <w:rFonts w:cs="Arial"/>
          <w:b/>
        </w:rPr>
        <w:t xml:space="preserve"> </w:t>
      </w:r>
      <w:r w:rsidR="00777C63" w:rsidRPr="00E419AD">
        <w:rPr>
          <w:rFonts w:cs="Arial"/>
        </w:rPr>
        <w:t xml:space="preserve">We must implement appropriate electronic mechanisms to confirm that ePHI contained on our information systems has not been altered or destroyed in an unauthorized manner. </w:t>
      </w:r>
      <w:r w:rsidR="004460B9" w:rsidRPr="00AB7959">
        <w:rPr>
          <w:rFonts w:cs="Calibri"/>
        </w:rPr>
        <w:t>Protecting the integrity of ePHI is a primary goal of the Security Rule</w:t>
      </w:r>
      <w:r w:rsidR="004460B9">
        <w:rPr>
          <w:rFonts w:cs="Calibri"/>
        </w:rPr>
        <w:t>.</w:t>
      </w:r>
    </w:p>
    <w:p w14:paraId="7A76930C" w14:textId="77777777" w:rsidR="0054721F" w:rsidRPr="00E419AD" w:rsidRDefault="0054721F">
      <w:pPr>
        <w:rPr>
          <w:rFonts w:cs="Arial"/>
        </w:rPr>
      </w:pPr>
    </w:p>
    <w:p w14:paraId="05D30705" w14:textId="02E512D7" w:rsidR="004E7DE2" w:rsidRPr="00777C63" w:rsidRDefault="0054721F" w:rsidP="00657E2C">
      <w:pPr>
        <w:spacing w:line="276" w:lineRule="auto"/>
        <w:rPr>
          <w:rFonts w:cs="Arial"/>
        </w:rPr>
      </w:pPr>
      <w:r w:rsidRPr="00E419AD">
        <w:rPr>
          <w:rFonts w:cs="Arial"/>
          <w:b/>
        </w:rPr>
        <w:t>Procedures:</w:t>
      </w:r>
      <w:r w:rsidR="00777C63" w:rsidRPr="00E419AD">
        <w:rPr>
          <w:rFonts w:cs="Arial"/>
          <w:b/>
        </w:rPr>
        <w:t xml:space="preserve"> </w:t>
      </w:r>
      <w:r w:rsidR="00331D83" w:rsidRPr="00E419AD">
        <w:rPr>
          <w:rFonts w:cs="Arial"/>
        </w:rPr>
        <w:t xml:space="preserve">Electronic mechanisms used to protect the integrity of ePHI contained on our information systems ensure that the value and state of the ePHI is maintained and it is protected from unauthorized modification and destruction. </w:t>
      </w:r>
      <w:r w:rsidR="00331D83">
        <w:rPr>
          <w:rFonts w:cs="Arial"/>
        </w:rPr>
        <w:t>These</w:t>
      </w:r>
      <w:r w:rsidR="00331D83" w:rsidRPr="00E419AD">
        <w:rPr>
          <w:rFonts w:cs="Arial"/>
        </w:rPr>
        <w:t xml:space="preserve"> mechanisms </w:t>
      </w:r>
      <w:r w:rsidR="00331D83">
        <w:rPr>
          <w:rFonts w:cs="Arial"/>
        </w:rPr>
        <w:t>are</w:t>
      </w:r>
      <w:r w:rsidR="00331D83" w:rsidRPr="00E419AD">
        <w:rPr>
          <w:rFonts w:cs="Arial"/>
        </w:rPr>
        <w:t xml:space="preserve"> capable of detecting and reporting unauthorized alteration or be capable of detecting and reporting unauthorized al</w:t>
      </w:r>
      <w:r w:rsidR="00331D83">
        <w:rPr>
          <w:rFonts w:cs="Arial"/>
        </w:rPr>
        <w:t>teration or destruction of ePHI.</w:t>
      </w:r>
    </w:p>
    <w:p w14:paraId="247D2D19" w14:textId="77777777" w:rsidR="00A02EF1" w:rsidRPr="00A02EF1" w:rsidRDefault="00A02EF1">
      <w:pPr>
        <w:rPr>
          <w:rFonts w:cs="Arial"/>
        </w:rPr>
      </w:pPr>
    </w:p>
    <w:p w14:paraId="56F1139A" w14:textId="1C563750"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5318AB" w:rsidRPr="005318AB">
        <w:rPr>
          <w:rFonts w:cs="Arial"/>
        </w:rPr>
        <w:t xml:space="preserve">mechanism to authenticate electronic protected health information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308A059C" w14:textId="7CE0EA06" w:rsidR="0017721D" w:rsidRDefault="007D4B61" w:rsidP="0017721D">
      <w:pPr>
        <w:pStyle w:val="ListParagraph"/>
        <w:numPr>
          <w:ilvl w:val="0"/>
          <w:numId w:val="4"/>
        </w:numPr>
        <w:rPr>
          <w:rFonts w:cs="Arial"/>
          <w:szCs w:val="22"/>
        </w:rPr>
      </w:pPr>
      <w:r>
        <w:rPr>
          <w:rFonts w:cs="Arial"/>
          <w:szCs w:val="22"/>
        </w:rPr>
        <w:t xml:space="preserve">The Security Official is responsible for </w:t>
      </w:r>
      <w:r w:rsidR="00B538F8">
        <w:rPr>
          <w:rFonts w:cs="Arial"/>
          <w:szCs w:val="22"/>
        </w:rPr>
        <w:t>identifying</w:t>
      </w:r>
      <w:r>
        <w:rPr>
          <w:rFonts w:cs="Arial"/>
          <w:szCs w:val="22"/>
        </w:rPr>
        <w:t xml:space="preserve"> </w:t>
      </w:r>
      <w:r w:rsidRPr="007D4B61">
        <w:rPr>
          <w:rFonts w:cs="Arial"/>
          <w:szCs w:val="22"/>
        </w:rPr>
        <w:t xml:space="preserve">risks to the integrity of </w:t>
      </w:r>
      <w:r>
        <w:rPr>
          <w:rFonts w:cs="Arial"/>
          <w:szCs w:val="22"/>
        </w:rPr>
        <w:t xml:space="preserve">the ePHI </w:t>
      </w:r>
      <w:r w:rsidRPr="007D4B61">
        <w:rPr>
          <w:rFonts w:cs="Arial"/>
          <w:szCs w:val="22"/>
        </w:rPr>
        <w:t>data</w:t>
      </w:r>
      <w:r w:rsidR="0017721D">
        <w:rPr>
          <w:rFonts w:cs="Arial"/>
          <w:szCs w:val="22"/>
        </w:rPr>
        <w:t xml:space="preserve"> and the </w:t>
      </w:r>
      <w:r w:rsidR="0017721D" w:rsidRPr="007D4B61">
        <w:rPr>
          <w:rFonts w:cs="Arial"/>
          <w:szCs w:val="22"/>
        </w:rPr>
        <w:t>security measures that will reduce th</w:t>
      </w:r>
      <w:r w:rsidR="0017721D">
        <w:rPr>
          <w:rFonts w:cs="Arial"/>
          <w:szCs w:val="22"/>
        </w:rPr>
        <w:t>ose</w:t>
      </w:r>
      <w:r w:rsidR="0017721D" w:rsidRPr="007D4B61">
        <w:rPr>
          <w:rFonts w:cs="Arial"/>
          <w:szCs w:val="22"/>
        </w:rPr>
        <w:t xml:space="preserve"> risks.</w:t>
      </w:r>
    </w:p>
    <w:p w14:paraId="1D6EFBCF" w14:textId="77777777" w:rsidR="00B538F8" w:rsidRDefault="00B538F8" w:rsidP="00B538F8">
      <w:pPr>
        <w:pStyle w:val="ListParagraph"/>
        <w:numPr>
          <w:ilvl w:val="0"/>
          <w:numId w:val="4"/>
        </w:numPr>
        <w:rPr>
          <w:rFonts w:cs="Arial"/>
          <w:szCs w:val="22"/>
        </w:rPr>
      </w:pPr>
      <w:r>
        <w:rPr>
          <w:rFonts w:cs="Arial"/>
          <w:szCs w:val="22"/>
        </w:rPr>
        <w:t xml:space="preserve">Security risk assessments are conducted on a periodic basis to assess the </w:t>
      </w:r>
      <w:r w:rsidRPr="007D4B61">
        <w:rPr>
          <w:rFonts w:cs="Arial"/>
          <w:szCs w:val="22"/>
        </w:rPr>
        <w:t xml:space="preserve">risks to the integrity of </w:t>
      </w:r>
      <w:r>
        <w:rPr>
          <w:rFonts w:cs="Arial"/>
          <w:szCs w:val="22"/>
        </w:rPr>
        <w:t xml:space="preserve">the ePHI </w:t>
      </w:r>
      <w:r w:rsidRPr="007D4B61">
        <w:rPr>
          <w:rFonts w:cs="Arial"/>
          <w:szCs w:val="22"/>
        </w:rPr>
        <w:t>data</w:t>
      </w:r>
      <w:r>
        <w:rPr>
          <w:rFonts w:cs="Arial"/>
          <w:szCs w:val="22"/>
        </w:rPr>
        <w:t>.</w:t>
      </w:r>
    </w:p>
    <w:p w14:paraId="5B7EDFFD" w14:textId="6B2C13DE" w:rsidR="00B538F8" w:rsidRPr="007D4B61" w:rsidRDefault="00B538F8" w:rsidP="00B538F8">
      <w:pPr>
        <w:pStyle w:val="ListParagraph"/>
        <w:numPr>
          <w:ilvl w:val="0"/>
          <w:numId w:val="4"/>
        </w:numPr>
        <w:rPr>
          <w:rFonts w:cs="Arial"/>
          <w:szCs w:val="22"/>
        </w:rPr>
      </w:pPr>
      <w:r>
        <w:rPr>
          <w:rFonts w:cs="Arial"/>
          <w:szCs w:val="22"/>
        </w:rPr>
        <w:t>Risk management plans are developed and implemented to mitigate the risks identified in the security risk assessment report.</w:t>
      </w:r>
    </w:p>
    <w:p w14:paraId="5F645C48" w14:textId="5378F93C" w:rsidR="00BC580E" w:rsidRPr="0017721D" w:rsidRDefault="00BC580E" w:rsidP="00A628A9">
      <w:pPr>
        <w:pStyle w:val="ListParagraph"/>
        <w:numPr>
          <w:ilvl w:val="0"/>
          <w:numId w:val="4"/>
        </w:numPr>
        <w:rPr>
          <w:rFonts w:cs="Arial"/>
          <w:szCs w:val="22"/>
        </w:rPr>
      </w:pPr>
      <w:r w:rsidRPr="0017721D">
        <w:rPr>
          <w:rFonts w:cs="Arial"/>
          <w:szCs w:val="22"/>
        </w:rPr>
        <w:t>Security measures put in place to reduce risks that may compromise the integrity of ePHI data</w:t>
      </w:r>
      <w:r w:rsidR="00FA6F14">
        <w:rPr>
          <w:rFonts w:cs="Arial"/>
          <w:szCs w:val="22"/>
        </w:rPr>
        <w:t xml:space="preserve"> </w:t>
      </w:r>
      <w:r w:rsidRPr="0017721D">
        <w:rPr>
          <w:rFonts w:cs="Arial"/>
          <w:szCs w:val="22"/>
        </w:rPr>
        <w:t>include:</w:t>
      </w:r>
    </w:p>
    <w:p w14:paraId="73F4C698" w14:textId="6994CCC5" w:rsidR="00BC580E" w:rsidRDefault="00BC580E" w:rsidP="00BC580E">
      <w:pPr>
        <w:pStyle w:val="ListParagraph"/>
        <w:numPr>
          <w:ilvl w:val="0"/>
          <w:numId w:val="7"/>
        </w:numPr>
        <w:ind w:left="1080"/>
        <w:rPr>
          <w:rFonts w:cs="Arial"/>
          <w:szCs w:val="22"/>
        </w:rPr>
      </w:pPr>
      <w:r>
        <w:rPr>
          <w:rFonts w:cs="Arial"/>
          <w:szCs w:val="22"/>
        </w:rPr>
        <w:t xml:space="preserve">Implementing software to </w:t>
      </w:r>
      <w:r w:rsidRPr="00BC580E">
        <w:rPr>
          <w:rFonts w:cs="Arial"/>
          <w:szCs w:val="22"/>
        </w:rPr>
        <w:t>protect against malicious software</w:t>
      </w:r>
    </w:p>
    <w:p w14:paraId="0A40DE1A" w14:textId="7122F791" w:rsidR="00BC580E" w:rsidRDefault="00BC580E" w:rsidP="00BC580E">
      <w:pPr>
        <w:pStyle w:val="ListParagraph"/>
        <w:numPr>
          <w:ilvl w:val="0"/>
          <w:numId w:val="7"/>
        </w:numPr>
        <w:ind w:left="1080"/>
        <w:rPr>
          <w:rFonts w:cs="Arial"/>
          <w:szCs w:val="22"/>
        </w:rPr>
      </w:pPr>
      <w:r>
        <w:rPr>
          <w:rFonts w:cs="Arial"/>
          <w:szCs w:val="22"/>
        </w:rPr>
        <w:t>Using unique user identifications</w:t>
      </w:r>
      <w:r w:rsidR="0017721D">
        <w:rPr>
          <w:rFonts w:cs="Arial"/>
          <w:szCs w:val="22"/>
        </w:rPr>
        <w:t xml:space="preserve"> and password authentication</w:t>
      </w:r>
    </w:p>
    <w:p w14:paraId="642947E0" w14:textId="5D4A52F8" w:rsidR="00BC580E" w:rsidRDefault="00BC580E" w:rsidP="00BC580E">
      <w:pPr>
        <w:pStyle w:val="ListParagraph"/>
        <w:numPr>
          <w:ilvl w:val="0"/>
          <w:numId w:val="7"/>
        </w:numPr>
        <w:ind w:left="1080"/>
        <w:rPr>
          <w:rFonts w:cs="Arial"/>
          <w:szCs w:val="22"/>
        </w:rPr>
      </w:pPr>
      <w:r>
        <w:rPr>
          <w:rFonts w:cs="Arial"/>
          <w:szCs w:val="22"/>
        </w:rPr>
        <w:t>Updating software with security patches</w:t>
      </w:r>
    </w:p>
    <w:p w14:paraId="32BED050" w14:textId="3766DC54" w:rsidR="00BC580E" w:rsidRDefault="00BC580E" w:rsidP="00BC580E">
      <w:pPr>
        <w:pStyle w:val="ListParagraph"/>
        <w:numPr>
          <w:ilvl w:val="0"/>
          <w:numId w:val="7"/>
        </w:numPr>
        <w:ind w:left="1080"/>
        <w:rPr>
          <w:rFonts w:cs="Arial"/>
          <w:szCs w:val="22"/>
        </w:rPr>
      </w:pPr>
      <w:r>
        <w:rPr>
          <w:rFonts w:cs="Arial"/>
          <w:szCs w:val="22"/>
        </w:rPr>
        <w:t>Workforce awareness and security training</w:t>
      </w:r>
    </w:p>
    <w:p w14:paraId="075DDFFF" w14:textId="6D2A20FA" w:rsidR="00BC580E" w:rsidRDefault="00BC580E" w:rsidP="00BC580E">
      <w:pPr>
        <w:pStyle w:val="ListParagraph"/>
        <w:numPr>
          <w:ilvl w:val="0"/>
          <w:numId w:val="7"/>
        </w:numPr>
        <w:ind w:left="1080"/>
        <w:rPr>
          <w:rFonts w:cs="Arial"/>
          <w:szCs w:val="22"/>
        </w:rPr>
      </w:pPr>
      <w:r>
        <w:rPr>
          <w:rFonts w:cs="Arial"/>
          <w:szCs w:val="22"/>
        </w:rPr>
        <w:t>Periodic security reminders</w:t>
      </w:r>
    </w:p>
    <w:p w14:paraId="767F506E" w14:textId="00433B42" w:rsidR="00AF05A0" w:rsidRDefault="00AF05A0" w:rsidP="00BC580E">
      <w:pPr>
        <w:pStyle w:val="ListParagraph"/>
        <w:numPr>
          <w:ilvl w:val="0"/>
          <w:numId w:val="7"/>
        </w:numPr>
        <w:ind w:left="1080"/>
        <w:rPr>
          <w:rFonts w:cs="Arial"/>
          <w:szCs w:val="22"/>
        </w:rPr>
      </w:pPr>
      <w:r>
        <w:rPr>
          <w:rFonts w:cs="Arial"/>
          <w:szCs w:val="22"/>
        </w:rPr>
        <w:t>Using workforce confidentiality agreements</w:t>
      </w:r>
    </w:p>
    <w:p w14:paraId="2E44F080" w14:textId="25CB27B5" w:rsidR="00AF05A0" w:rsidRDefault="00AF05A0" w:rsidP="00BC580E">
      <w:pPr>
        <w:pStyle w:val="ListParagraph"/>
        <w:numPr>
          <w:ilvl w:val="0"/>
          <w:numId w:val="7"/>
        </w:numPr>
        <w:ind w:left="1080"/>
        <w:rPr>
          <w:rFonts w:cs="Arial"/>
          <w:szCs w:val="22"/>
        </w:rPr>
      </w:pPr>
      <w:r>
        <w:rPr>
          <w:rFonts w:cs="Arial"/>
          <w:szCs w:val="22"/>
        </w:rPr>
        <w:t>Using Business Associate contracts</w:t>
      </w:r>
    </w:p>
    <w:p w14:paraId="07AADEF1" w14:textId="77777777" w:rsidR="0017721D" w:rsidRDefault="00BC580E" w:rsidP="00BC580E">
      <w:pPr>
        <w:pStyle w:val="ListParagraph"/>
        <w:numPr>
          <w:ilvl w:val="0"/>
          <w:numId w:val="7"/>
        </w:numPr>
        <w:ind w:left="1080"/>
        <w:rPr>
          <w:rFonts w:cs="Arial"/>
          <w:szCs w:val="22"/>
        </w:rPr>
      </w:pPr>
      <w:r>
        <w:rPr>
          <w:rFonts w:cs="Arial"/>
          <w:szCs w:val="22"/>
        </w:rPr>
        <w:t>Physical facility access controls and security mechanisms</w:t>
      </w:r>
    </w:p>
    <w:p w14:paraId="0405C7AF" w14:textId="77777777" w:rsidR="0017721D" w:rsidRDefault="0017721D" w:rsidP="00BC580E">
      <w:pPr>
        <w:pStyle w:val="ListParagraph"/>
        <w:numPr>
          <w:ilvl w:val="0"/>
          <w:numId w:val="7"/>
        </w:numPr>
        <w:ind w:left="1080"/>
        <w:rPr>
          <w:rFonts w:cs="Arial"/>
          <w:szCs w:val="22"/>
        </w:rPr>
      </w:pPr>
      <w:r>
        <w:rPr>
          <w:rFonts w:cs="Arial"/>
          <w:szCs w:val="22"/>
        </w:rPr>
        <w:t>Verifying backups complete successfully</w:t>
      </w:r>
    </w:p>
    <w:p w14:paraId="6DD7E3A6" w14:textId="77777777" w:rsidR="0017721D" w:rsidRDefault="0017721D" w:rsidP="00BC580E">
      <w:pPr>
        <w:pStyle w:val="ListParagraph"/>
        <w:numPr>
          <w:ilvl w:val="0"/>
          <w:numId w:val="7"/>
        </w:numPr>
        <w:ind w:left="1080"/>
        <w:rPr>
          <w:rFonts w:cs="Arial"/>
          <w:szCs w:val="22"/>
        </w:rPr>
      </w:pPr>
      <w:r>
        <w:rPr>
          <w:rFonts w:cs="Arial"/>
          <w:szCs w:val="22"/>
        </w:rPr>
        <w:t>Maintaining a backup copy of ePHI data offsite.</w:t>
      </w:r>
    </w:p>
    <w:p w14:paraId="1163D435" w14:textId="13FD5581" w:rsidR="0017721D" w:rsidRDefault="0017721D" w:rsidP="00BC580E">
      <w:pPr>
        <w:pStyle w:val="ListParagraph"/>
        <w:numPr>
          <w:ilvl w:val="0"/>
          <w:numId w:val="7"/>
        </w:numPr>
        <w:ind w:left="1080"/>
        <w:rPr>
          <w:rFonts w:cs="Arial"/>
          <w:szCs w:val="22"/>
        </w:rPr>
      </w:pPr>
      <w:r>
        <w:rPr>
          <w:rFonts w:cs="Arial"/>
          <w:szCs w:val="22"/>
        </w:rPr>
        <w:t xml:space="preserve">Using </w:t>
      </w:r>
      <w:r w:rsidR="00943D8B">
        <w:rPr>
          <w:rFonts w:cs="Arial"/>
          <w:szCs w:val="22"/>
        </w:rPr>
        <w:t xml:space="preserve">data </w:t>
      </w:r>
      <w:r>
        <w:rPr>
          <w:rFonts w:cs="Arial"/>
          <w:szCs w:val="22"/>
        </w:rPr>
        <w:t xml:space="preserve">in transit and </w:t>
      </w:r>
      <w:r w:rsidR="00943D8B">
        <w:rPr>
          <w:rFonts w:cs="Arial"/>
          <w:szCs w:val="22"/>
        </w:rPr>
        <w:t xml:space="preserve">data </w:t>
      </w:r>
      <w:r>
        <w:rPr>
          <w:rFonts w:cs="Arial"/>
          <w:szCs w:val="22"/>
        </w:rPr>
        <w:t>at rest encryption mechanisms</w:t>
      </w:r>
    </w:p>
    <w:p w14:paraId="26D3492E" w14:textId="77777777" w:rsidR="00FA6F14" w:rsidRDefault="00FA6F14" w:rsidP="00BC580E">
      <w:pPr>
        <w:pStyle w:val="ListParagraph"/>
        <w:numPr>
          <w:ilvl w:val="0"/>
          <w:numId w:val="7"/>
        </w:numPr>
        <w:ind w:left="1080"/>
        <w:rPr>
          <w:rFonts w:cs="Arial"/>
          <w:szCs w:val="22"/>
        </w:rPr>
      </w:pPr>
      <w:r>
        <w:rPr>
          <w:rFonts w:cs="Arial"/>
          <w:szCs w:val="22"/>
        </w:rPr>
        <w:t>Reviewing audit logs</w:t>
      </w:r>
    </w:p>
    <w:p w14:paraId="0356229C" w14:textId="59B63EB3" w:rsidR="00FA6F14" w:rsidRPr="00AB7959" w:rsidRDefault="00FA6F14" w:rsidP="00FA6F14">
      <w:pPr>
        <w:numPr>
          <w:ilvl w:val="0"/>
          <w:numId w:val="8"/>
        </w:numPr>
        <w:spacing w:after="60"/>
        <w:ind w:left="1080"/>
        <w:rPr>
          <w:rFonts w:cs="Calibri"/>
        </w:rPr>
      </w:pPr>
      <w:r>
        <w:rPr>
          <w:rFonts w:cs="Arial"/>
          <w:szCs w:val="22"/>
        </w:rPr>
        <w:t xml:space="preserve">Implementing systems with built-in safeguards </w:t>
      </w:r>
      <w:r w:rsidRPr="00AB7959">
        <w:rPr>
          <w:rFonts w:cs="Calibri"/>
        </w:rPr>
        <w:t>that protect the integrity of ePHI from being altered or destroyed in an unauthorized manner.</w:t>
      </w:r>
    </w:p>
    <w:p w14:paraId="1A2655FB" w14:textId="08DE121F" w:rsidR="003A5828" w:rsidRPr="00F302DD" w:rsidRDefault="003A5828" w:rsidP="005318AB">
      <w:pPr>
        <w:pStyle w:val="ListParagraph"/>
        <w:numPr>
          <w:ilvl w:val="0"/>
          <w:numId w:val="3"/>
        </w:numPr>
        <w:rPr>
          <w:rFonts w:cs="Arial"/>
        </w:rPr>
      </w:pPr>
      <w:r w:rsidRPr="00F302DD">
        <w:rPr>
          <w:rFonts w:cs="Arial"/>
        </w:rPr>
        <w:t xml:space="preserve">Documentation (e.g. </w:t>
      </w:r>
      <w:r w:rsidR="006F161F">
        <w:rPr>
          <w:rFonts w:cs="Arial"/>
        </w:rPr>
        <w:t>policies</w:t>
      </w:r>
      <w:r w:rsidR="007D4B61">
        <w:rPr>
          <w:rFonts w:cs="Arial"/>
        </w:rPr>
        <w:t xml:space="preserve"> and procedures</w:t>
      </w:r>
      <w:r w:rsidR="00FA6F14">
        <w:rPr>
          <w:rFonts w:cs="Arial"/>
        </w:rPr>
        <w:t>, training</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7FA9C154" w14:textId="77777777" w:rsidR="00733481" w:rsidRDefault="00733481">
      <w:pPr>
        <w:rPr>
          <w:sz w:val="22"/>
        </w:rPr>
      </w:pPr>
    </w:p>
    <w:p w14:paraId="2E6AB990" w14:textId="77777777" w:rsidR="00733481" w:rsidRDefault="00733481">
      <w:pPr>
        <w:rPr>
          <w:sz w:val="22"/>
        </w:rPr>
      </w:pPr>
    </w:p>
    <w:p w14:paraId="4F5DA181" w14:textId="77777777" w:rsidR="00733481" w:rsidRDefault="00733481">
      <w:pPr>
        <w:rPr>
          <w:sz w:val="22"/>
        </w:rPr>
      </w:pPr>
    </w:p>
    <w:p w14:paraId="5609A3AF" w14:textId="77777777" w:rsidR="00733481" w:rsidRDefault="00733481">
      <w:pPr>
        <w:rPr>
          <w:sz w:val="22"/>
        </w:rPr>
      </w:pPr>
    </w:p>
    <w:p w14:paraId="4AD957E6" w14:textId="77777777" w:rsidR="00733481" w:rsidRDefault="00733481">
      <w:pPr>
        <w:rPr>
          <w:sz w:val="22"/>
        </w:rPr>
      </w:pPr>
    </w:p>
    <w:p w14:paraId="0F0DFEE8" w14:textId="77777777" w:rsidR="00733481" w:rsidRDefault="00733481">
      <w:pPr>
        <w:rPr>
          <w:sz w:val="22"/>
        </w:rPr>
      </w:pPr>
    </w:p>
    <w:p w14:paraId="26F8B06C"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84C40" w14:textId="77777777" w:rsidR="00055A0C" w:rsidRDefault="00055A0C">
      <w:r>
        <w:separator/>
      </w:r>
    </w:p>
  </w:endnote>
  <w:endnote w:type="continuationSeparator" w:id="0">
    <w:p w14:paraId="6A364EEE" w14:textId="77777777" w:rsidR="00055A0C" w:rsidRDefault="0005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0AAE38BC"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A159D0">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A159D0">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90C9C" w14:textId="77777777" w:rsidR="00055A0C" w:rsidRDefault="00055A0C">
      <w:r>
        <w:separator/>
      </w:r>
    </w:p>
  </w:footnote>
  <w:footnote w:type="continuationSeparator" w:id="0">
    <w:p w14:paraId="66ABD64E" w14:textId="77777777" w:rsidR="00055A0C" w:rsidRDefault="00055A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04665"/>
    <w:multiLevelType w:val="hybridMultilevel"/>
    <w:tmpl w:val="B0EC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B4E11"/>
    <w:multiLevelType w:val="hybridMultilevel"/>
    <w:tmpl w:val="54BC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51F0E"/>
    <w:multiLevelType w:val="hybridMultilevel"/>
    <w:tmpl w:val="25D2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033DC"/>
    <w:multiLevelType w:val="hybridMultilevel"/>
    <w:tmpl w:val="892E3E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C26D0"/>
    <w:multiLevelType w:val="hybridMultilevel"/>
    <w:tmpl w:val="590EC0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1"/>
  </w:num>
  <w:num w:numId="6">
    <w:abstractNumId w:val="3"/>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72F1"/>
    <w:rsid w:val="00055A0C"/>
    <w:rsid w:val="00067A17"/>
    <w:rsid w:val="000A028E"/>
    <w:rsid w:val="000A663E"/>
    <w:rsid w:val="000A7504"/>
    <w:rsid w:val="000C330B"/>
    <w:rsid w:val="000D25C5"/>
    <w:rsid w:val="000D6CEE"/>
    <w:rsid w:val="00105DEA"/>
    <w:rsid w:val="00111816"/>
    <w:rsid w:val="00133664"/>
    <w:rsid w:val="00150845"/>
    <w:rsid w:val="00152D23"/>
    <w:rsid w:val="00156CEF"/>
    <w:rsid w:val="00164651"/>
    <w:rsid w:val="00165169"/>
    <w:rsid w:val="0017721D"/>
    <w:rsid w:val="00182881"/>
    <w:rsid w:val="0018318A"/>
    <w:rsid w:val="001A543A"/>
    <w:rsid w:val="001D73FF"/>
    <w:rsid w:val="001E0FCA"/>
    <w:rsid w:val="001E6D9E"/>
    <w:rsid w:val="001F1721"/>
    <w:rsid w:val="002006E1"/>
    <w:rsid w:val="002048E0"/>
    <w:rsid w:val="00204EEB"/>
    <w:rsid w:val="002144B2"/>
    <w:rsid w:val="002411DF"/>
    <w:rsid w:val="00257199"/>
    <w:rsid w:val="0028715C"/>
    <w:rsid w:val="002959ED"/>
    <w:rsid w:val="002A5267"/>
    <w:rsid w:val="002B16B2"/>
    <w:rsid w:val="002C1D73"/>
    <w:rsid w:val="002D7FB8"/>
    <w:rsid w:val="00300B01"/>
    <w:rsid w:val="0031655D"/>
    <w:rsid w:val="003257D7"/>
    <w:rsid w:val="00326B58"/>
    <w:rsid w:val="00331D83"/>
    <w:rsid w:val="00340D85"/>
    <w:rsid w:val="003466F1"/>
    <w:rsid w:val="003522E6"/>
    <w:rsid w:val="00364409"/>
    <w:rsid w:val="003868D0"/>
    <w:rsid w:val="00394B7A"/>
    <w:rsid w:val="003A4738"/>
    <w:rsid w:val="003A5828"/>
    <w:rsid w:val="003B02F7"/>
    <w:rsid w:val="004125D9"/>
    <w:rsid w:val="004460B9"/>
    <w:rsid w:val="00454502"/>
    <w:rsid w:val="0046343D"/>
    <w:rsid w:val="00466E1B"/>
    <w:rsid w:val="00481851"/>
    <w:rsid w:val="004D3A43"/>
    <w:rsid w:val="004E7DE2"/>
    <w:rsid w:val="004F43B6"/>
    <w:rsid w:val="00506871"/>
    <w:rsid w:val="00512761"/>
    <w:rsid w:val="005312A2"/>
    <w:rsid w:val="005318AB"/>
    <w:rsid w:val="0054721F"/>
    <w:rsid w:val="00564D57"/>
    <w:rsid w:val="00567FF7"/>
    <w:rsid w:val="00571019"/>
    <w:rsid w:val="005808DF"/>
    <w:rsid w:val="00584643"/>
    <w:rsid w:val="005B7D1F"/>
    <w:rsid w:val="005C0D7F"/>
    <w:rsid w:val="005D3A85"/>
    <w:rsid w:val="005D5A78"/>
    <w:rsid w:val="005E3A86"/>
    <w:rsid w:val="005F7952"/>
    <w:rsid w:val="00600BE9"/>
    <w:rsid w:val="00602D10"/>
    <w:rsid w:val="00612AF3"/>
    <w:rsid w:val="0061742B"/>
    <w:rsid w:val="0063585F"/>
    <w:rsid w:val="006431AF"/>
    <w:rsid w:val="0065743E"/>
    <w:rsid w:val="00657E2C"/>
    <w:rsid w:val="00667A83"/>
    <w:rsid w:val="0067082C"/>
    <w:rsid w:val="00686D59"/>
    <w:rsid w:val="006900D7"/>
    <w:rsid w:val="006970A3"/>
    <w:rsid w:val="006D0A8A"/>
    <w:rsid w:val="006D346C"/>
    <w:rsid w:val="006D6B41"/>
    <w:rsid w:val="006F161F"/>
    <w:rsid w:val="006F4F9E"/>
    <w:rsid w:val="006F7C89"/>
    <w:rsid w:val="0071449D"/>
    <w:rsid w:val="00723D3A"/>
    <w:rsid w:val="00733481"/>
    <w:rsid w:val="00734D07"/>
    <w:rsid w:val="00735247"/>
    <w:rsid w:val="0074401D"/>
    <w:rsid w:val="00755180"/>
    <w:rsid w:val="00763A04"/>
    <w:rsid w:val="00764403"/>
    <w:rsid w:val="00777C63"/>
    <w:rsid w:val="00792A2D"/>
    <w:rsid w:val="007946AF"/>
    <w:rsid w:val="007C7054"/>
    <w:rsid w:val="007D4B61"/>
    <w:rsid w:val="007F0219"/>
    <w:rsid w:val="007F4512"/>
    <w:rsid w:val="00824336"/>
    <w:rsid w:val="00834194"/>
    <w:rsid w:val="00872BDC"/>
    <w:rsid w:val="00872D56"/>
    <w:rsid w:val="00884DA3"/>
    <w:rsid w:val="00887562"/>
    <w:rsid w:val="008A29D1"/>
    <w:rsid w:val="008A534E"/>
    <w:rsid w:val="008A6B8A"/>
    <w:rsid w:val="008B7231"/>
    <w:rsid w:val="008C5212"/>
    <w:rsid w:val="008D0395"/>
    <w:rsid w:val="008E572F"/>
    <w:rsid w:val="00920667"/>
    <w:rsid w:val="00931A1C"/>
    <w:rsid w:val="0093418E"/>
    <w:rsid w:val="00935AA9"/>
    <w:rsid w:val="00943D8B"/>
    <w:rsid w:val="009516B7"/>
    <w:rsid w:val="009541BA"/>
    <w:rsid w:val="009C202C"/>
    <w:rsid w:val="009D2631"/>
    <w:rsid w:val="00A02EF1"/>
    <w:rsid w:val="00A107DE"/>
    <w:rsid w:val="00A159D0"/>
    <w:rsid w:val="00A25BD1"/>
    <w:rsid w:val="00A317DF"/>
    <w:rsid w:val="00A44AE9"/>
    <w:rsid w:val="00A9188B"/>
    <w:rsid w:val="00AB2F55"/>
    <w:rsid w:val="00AB5909"/>
    <w:rsid w:val="00AC477E"/>
    <w:rsid w:val="00AC64E8"/>
    <w:rsid w:val="00AD2D03"/>
    <w:rsid w:val="00AE04C0"/>
    <w:rsid w:val="00AF05A0"/>
    <w:rsid w:val="00AF5D70"/>
    <w:rsid w:val="00B15639"/>
    <w:rsid w:val="00B2024C"/>
    <w:rsid w:val="00B25A85"/>
    <w:rsid w:val="00B272D7"/>
    <w:rsid w:val="00B32D35"/>
    <w:rsid w:val="00B42456"/>
    <w:rsid w:val="00B4751C"/>
    <w:rsid w:val="00B538F8"/>
    <w:rsid w:val="00B720C1"/>
    <w:rsid w:val="00B72903"/>
    <w:rsid w:val="00BA3D4A"/>
    <w:rsid w:val="00BB1A0B"/>
    <w:rsid w:val="00BB2BE2"/>
    <w:rsid w:val="00BC580E"/>
    <w:rsid w:val="00C72F16"/>
    <w:rsid w:val="00C77980"/>
    <w:rsid w:val="00D028E5"/>
    <w:rsid w:val="00D20BE6"/>
    <w:rsid w:val="00DA1988"/>
    <w:rsid w:val="00DA413C"/>
    <w:rsid w:val="00DA754F"/>
    <w:rsid w:val="00DB1C64"/>
    <w:rsid w:val="00DD3A42"/>
    <w:rsid w:val="00DD5811"/>
    <w:rsid w:val="00DE7733"/>
    <w:rsid w:val="00E171F8"/>
    <w:rsid w:val="00E419AD"/>
    <w:rsid w:val="00E56466"/>
    <w:rsid w:val="00E75435"/>
    <w:rsid w:val="00E8083C"/>
    <w:rsid w:val="00EC4A28"/>
    <w:rsid w:val="00EC4FDA"/>
    <w:rsid w:val="00EE06F5"/>
    <w:rsid w:val="00EF1261"/>
    <w:rsid w:val="00EF54C7"/>
    <w:rsid w:val="00F12407"/>
    <w:rsid w:val="00F210E7"/>
    <w:rsid w:val="00F302DD"/>
    <w:rsid w:val="00F4557F"/>
    <w:rsid w:val="00F56458"/>
    <w:rsid w:val="00F75131"/>
    <w:rsid w:val="00F756E9"/>
    <w:rsid w:val="00F845FB"/>
    <w:rsid w:val="00F971F1"/>
    <w:rsid w:val="00FA6F14"/>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D6FDE92-8474-4843-BAC3-D900E1E14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2507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21</cp:revision>
  <cp:lastPrinted>2000-10-12T21:12:00Z</cp:lastPrinted>
  <dcterms:created xsi:type="dcterms:W3CDTF">2015-05-26T15:15:00Z</dcterms:created>
  <dcterms:modified xsi:type="dcterms:W3CDTF">2016-03-09T00:14:00Z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