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D08EB21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D08EB21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66D0D016" w:rsidR="00733481" w:rsidRPr="00164651" w:rsidRDefault="00824336" w:rsidP="003A4738">
      <w:pPr>
        <w:pStyle w:val="Heading3"/>
        <w:spacing w:before="80" w:line="276" w:lineRule="auto"/>
        <w:rPr>
          <w:b/>
          <w:szCs w:val="32"/>
        </w:rPr>
      </w:pPr>
      <w:r w:rsidRPr="00824336">
        <w:rPr>
          <w:b/>
          <w:szCs w:val="32"/>
        </w:rPr>
        <w:t>Access Establishment and Modification §164.308(a)(4)(ii)(C)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7E76FA63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C13958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4790DFF8" w:rsidR="0054721F" w:rsidRPr="00FD0D54" w:rsidRDefault="003A4738" w:rsidP="00FD0D54">
      <w:pPr>
        <w:spacing w:line="276" w:lineRule="auto"/>
        <w:rPr>
          <w:rFonts w:cs="Arial"/>
        </w:rPr>
      </w:pPr>
      <w:r>
        <w:rPr>
          <w:rFonts w:cs="Arial"/>
          <w:b/>
        </w:rPr>
        <w:t>Policy</w:t>
      </w:r>
      <w:r w:rsidR="00A02EF1" w:rsidRPr="00A02EF1">
        <w:rPr>
          <w:rFonts w:cs="Arial"/>
          <w:b/>
        </w:rPr>
        <w:t>:</w:t>
      </w:r>
      <w:r w:rsidR="00030ABC" w:rsidRPr="00030ABC">
        <w:rPr>
          <w:rFonts w:cs="Arial"/>
        </w:rPr>
        <w:t xml:space="preserve"> Only properly authorized and trained workforce members may access our information systems containing ePHI. </w:t>
      </w:r>
      <w:r w:rsidR="002A717B">
        <w:rPr>
          <w:rFonts w:cs="Arial"/>
        </w:rPr>
        <w:t>We</w:t>
      </w:r>
      <w:r w:rsidR="00030ABC" w:rsidRPr="00030ABC">
        <w:rPr>
          <w:rFonts w:cs="Arial"/>
        </w:rPr>
        <w:t xml:space="preserve"> must review this access regularly. Access to our information systems containing ePHI is limited to our workforce members who have a need for specific ePHI in order to perform their job responsibilities.</w:t>
      </w:r>
      <w:r w:rsidR="002A717B">
        <w:rPr>
          <w:rFonts w:cs="Arial"/>
        </w:rPr>
        <w:t xml:space="preserve"> W</w:t>
      </w:r>
      <w:r w:rsidR="00030ABC" w:rsidRPr="00030ABC">
        <w:rPr>
          <w:rFonts w:cs="Arial"/>
        </w:rPr>
        <w:t xml:space="preserve">orkforce members </w:t>
      </w:r>
      <w:r w:rsidR="002A717B">
        <w:rPr>
          <w:rFonts w:cs="Arial"/>
        </w:rPr>
        <w:t xml:space="preserve">will </w:t>
      </w:r>
      <w:r w:rsidR="00030ABC" w:rsidRPr="00030ABC">
        <w:rPr>
          <w:rFonts w:cs="Arial"/>
        </w:rPr>
        <w:t>not provide access to our information systems to unauthorized persons.</w:t>
      </w:r>
    </w:p>
    <w:p w14:paraId="7A76930C" w14:textId="77777777" w:rsidR="0054721F" w:rsidRDefault="0054721F">
      <w:pPr>
        <w:rPr>
          <w:rFonts w:cs="Arial"/>
        </w:rPr>
      </w:pPr>
    </w:p>
    <w:p w14:paraId="05D30705" w14:textId="24CC2F31" w:rsidR="004E7DE2" w:rsidRPr="00030ABC" w:rsidRDefault="0054721F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Procedures</w:t>
      </w:r>
      <w:r w:rsidRPr="00A02EF1">
        <w:rPr>
          <w:rFonts w:cs="Arial"/>
          <w:b/>
        </w:rPr>
        <w:t>:</w:t>
      </w:r>
      <w:r w:rsidR="00FD0D54">
        <w:rPr>
          <w:rFonts w:cs="Arial"/>
          <w:b/>
        </w:rPr>
        <w:t xml:space="preserve"> </w:t>
      </w:r>
      <w:r w:rsidR="002A717B" w:rsidRPr="002A717B">
        <w:rPr>
          <w:rFonts w:cs="Arial"/>
        </w:rPr>
        <w:t>We</w:t>
      </w:r>
      <w:r w:rsidR="00030ABC" w:rsidRPr="002A717B">
        <w:rPr>
          <w:rFonts w:cs="Arial"/>
        </w:rPr>
        <w:t xml:space="preserve"> </w:t>
      </w:r>
      <w:r w:rsidR="00093000">
        <w:rPr>
          <w:rFonts w:cs="Arial"/>
        </w:rPr>
        <w:t xml:space="preserve">establish </w:t>
      </w:r>
      <w:r w:rsidR="00030ABC" w:rsidRPr="00030ABC">
        <w:rPr>
          <w:rFonts w:cs="Arial"/>
        </w:rPr>
        <w:t xml:space="preserve">access to our information systems </w:t>
      </w:r>
      <w:r w:rsidR="00093000">
        <w:rPr>
          <w:rFonts w:cs="Arial"/>
        </w:rPr>
        <w:t xml:space="preserve">for </w:t>
      </w:r>
      <w:r w:rsidR="00093000" w:rsidRPr="00030ABC">
        <w:rPr>
          <w:rFonts w:cs="Arial"/>
        </w:rPr>
        <w:t>workforce members who have a need for specific ePHI in order to perform their job responsibilities.</w:t>
      </w:r>
      <w:r w:rsidR="00093000">
        <w:rPr>
          <w:rFonts w:cs="Arial"/>
        </w:rPr>
        <w:t xml:space="preserve"> </w:t>
      </w:r>
      <w:r w:rsidR="00030ABC" w:rsidRPr="00030ABC">
        <w:rPr>
          <w:rFonts w:cs="Arial"/>
        </w:rPr>
        <w:t xml:space="preserve">This access </w:t>
      </w:r>
      <w:r w:rsidR="00093000">
        <w:rPr>
          <w:rFonts w:cs="Arial"/>
        </w:rPr>
        <w:t xml:space="preserve">is </w:t>
      </w:r>
      <w:r w:rsidR="00030ABC" w:rsidRPr="00030ABC">
        <w:rPr>
          <w:rFonts w:cs="Arial"/>
        </w:rPr>
        <w:t xml:space="preserve">reviewed </w:t>
      </w:r>
      <w:r w:rsidR="00093000">
        <w:rPr>
          <w:rFonts w:cs="Arial"/>
        </w:rPr>
        <w:t>periodically a</w:t>
      </w:r>
      <w:r w:rsidR="00030ABC" w:rsidRPr="00030ABC">
        <w:rPr>
          <w:rFonts w:cs="Arial"/>
        </w:rPr>
        <w:t>nd modified if necessary. Our workforce members will not provide access to unauthorized persons.</w:t>
      </w:r>
      <w:bookmarkStart w:id="0" w:name="_GoBack"/>
      <w:bookmarkEnd w:id="0"/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4CC4D768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763A04" w:rsidRPr="00763A04">
        <w:rPr>
          <w:rFonts w:cs="Arial"/>
        </w:rPr>
        <w:t xml:space="preserve">access establishment and modification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5B1F100A" w14:textId="54EC1E11" w:rsidR="0018318A" w:rsidRPr="0018318A" w:rsidRDefault="0018318A" w:rsidP="0018318A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18318A">
        <w:rPr>
          <w:rFonts w:cs="Arial"/>
          <w:szCs w:val="22"/>
        </w:rPr>
        <w:t xml:space="preserve">The workforce member’s supervisor is responsible for notifying the </w:t>
      </w:r>
      <w:r w:rsidR="00872D56" w:rsidRPr="00030ABC">
        <w:rPr>
          <w:rFonts w:cs="Arial"/>
        </w:rPr>
        <w:t>Security Official</w:t>
      </w:r>
      <w:r w:rsidR="00872D56" w:rsidRPr="0018318A">
        <w:rPr>
          <w:rFonts w:cs="Arial"/>
          <w:szCs w:val="22"/>
        </w:rPr>
        <w:t xml:space="preserve"> </w:t>
      </w:r>
      <w:r w:rsidRPr="0018318A">
        <w:rPr>
          <w:rFonts w:cs="Arial"/>
          <w:szCs w:val="22"/>
        </w:rPr>
        <w:t xml:space="preserve">of </w:t>
      </w:r>
      <w:r>
        <w:rPr>
          <w:rFonts w:cs="Arial"/>
          <w:szCs w:val="22"/>
        </w:rPr>
        <w:t xml:space="preserve">information system access </w:t>
      </w:r>
      <w:r w:rsidRPr="0018318A">
        <w:rPr>
          <w:rFonts w:cs="Arial"/>
          <w:szCs w:val="22"/>
        </w:rPr>
        <w:t xml:space="preserve">add, modify and delete requests. </w:t>
      </w:r>
    </w:p>
    <w:p w14:paraId="51B736F5" w14:textId="4A141AAB" w:rsidR="0018318A" w:rsidRPr="0018318A" w:rsidRDefault="00093000" w:rsidP="0018318A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A</w:t>
      </w:r>
      <w:r w:rsidRPr="0018318A">
        <w:rPr>
          <w:rFonts w:cs="Arial"/>
          <w:szCs w:val="22"/>
        </w:rPr>
        <w:t xml:space="preserve">pproved </w:t>
      </w:r>
      <w:r>
        <w:rPr>
          <w:rFonts w:cs="Arial"/>
          <w:szCs w:val="22"/>
        </w:rPr>
        <w:t>access</w:t>
      </w:r>
      <w:r w:rsidRPr="0018318A">
        <w:rPr>
          <w:rFonts w:cs="Arial"/>
          <w:szCs w:val="22"/>
        </w:rPr>
        <w:t xml:space="preserve"> request</w:t>
      </w:r>
      <w:r>
        <w:rPr>
          <w:rFonts w:cs="Arial"/>
          <w:szCs w:val="22"/>
        </w:rPr>
        <w:t xml:space="preserve">s are </w:t>
      </w:r>
      <w:r w:rsidR="0018318A" w:rsidRPr="0018318A">
        <w:rPr>
          <w:rFonts w:cs="Arial"/>
          <w:szCs w:val="22"/>
        </w:rPr>
        <w:t xml:space="preserve">implemented </w:t>
      </w:r>
      <w:r w:rsidR="00872D56">
        <w:rPr>
          <w:rFonts w:cs="Arial"/>
          <w:szCs w:val="22"/>
        </w:rPr>
        <w:t xml:space="preserve">as soon as </w:t>
      </w:r>
      <w:r w:rsidR="0028715C" w:rsidRPr="00623D10">
        <w:rPr>
          <w:rFonts w:cs="Arial"/>
        </w:rPr>
        <w:t>practicable</w:t>
      </w:r>
      <w:r>
        <w:rPr>
          <w:rFonts w:cs="Arial"/>
        </w:rPr>
        <w:t xml:space="preserve"> by authorized personnel.</w:t>
      </w:r>
    </w:p>
    <w:p w14:paraId="7CC44159" w14:textId="014A516A" w:rsidR="0018318A" w:rsidRPr="0018318A" w:rsidRDefault="0018318A" w:rsidP="0018318A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18318A">
        <w:rPr>
          <w:rFonts w:cs="Arial"/>
          <w:szCs w:val="22"/>
        </w:rPr>
        <w:t>When the job responsibilities of a workforce member change significantly, access to computer programs and workstations will be reevaluated</w:t>
      </w:r>
      <w:r w:rsidR="00111816">
        <w:rPr>
          <w:rFonts w:cs="Arial"/>
          <w:szCs w:val="22"/>
        </w:rPr>
        <w:t xml:space="preserve"> </w:t>
      </w:r>
      <w:r w:rsidR="002A717B">
        <w:rPr>
          <w:rFonts w:cs="Arial"/>
          <w:szCs w:val="22"/>
        </w:rPr>
        <w:t xml:space="preserve">by </w:t>
      </w:r>
      <w:r w:rsidR="00111816">
        <w:rPr>
          <w:rFonts w:cs="Arial"/>
          <w:szCs w:val="22"/>
        </w:rPr>
        <w:t>t</w:t>
      </w:r>
      <w:r w:rsidR="00111816" w:rsidRPr="0018318A">
        <w:rPr>
          <w:rFonts w:cs="Arial"/>
          <w:szCs w:val="22"/>
        </w:rPr>
        <w:t>he workforce member’s supervisor</w:t>
      </w:r>
      <w:r w:rsidRPr="0018318A">
        <w:rPr>
          <w:rFonts w:cs="Arial"/>
          <w:szCs w:val="22"/>
        </w:rPr>
        <w:t>.</w:t>
      </w:r>
    </w:p>
    <w:p w14:paraId="4300772A" w14:textId="667F7390" w:rsidR="00093000" w:rsidRPr="00F302DD" w:rsidRDefault="00093000" w:rsidP="00093000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>Documentation (</w:t>
      </w:r>
      <w:r w:rsidRPr="00193A13">
        <w:rPr>
          <w:rFonts w:cs="Arial"/>
        </w:rPr>
        <w:t xml:space="preserve">e.g. </w:t>
      </w:r>
      <w:r w:rsidRPr="00196913">
        <w:rPr>
          <w:rFonts w:cs="Arial"/>
        </w:rPr>
        <w:t>on-boarding checklist</w:t>
      </w:r>
      <w:r>
        <w:rPr>
          <w:rFonts w:cs="Arial"/>
        </w:rPr>
        <w:t>, access requ</w:t>
      </w:r>
      <w:r w:rsidRPr="00792A2D">
        <w:rPr>
          <w:rFonts w:cs="Arial"/>
        </w:rPr>
        <w:t>ests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DA754F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8829B" w14:textId="77777777" w:rsidR="00E60F81" w:rsidRDefault="00E60F81">
      <w:r>
        <w:separator/>
      </w:r>
    </w:p>
  </w:endnote>
  <w:endnote w:type="continuationSeparator" w:id="0">
    <w:p w14:paraId="11BF90D5" w14:textId="77777777" w:rsidR="00E60F81" w:rsidRDefault="00E6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262DB95E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CB728C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CB728C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74460" w14:textId="77777777" w:rsidR="00E60F81" w:rsidRDefault="00E60F81">
      <w:r>
        <w:separator/>
      </w:r>
    </w:p>
  </w:footnote>
  <w:footnote w:type="continuationSeparator" w:id="0">
    <w:p w14:paraId="54ABAE4C" w14:textId="77777777" w:rsidR="00E60F81" w:rsidRDefault="00E60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2F1"/>
    <w:rsid w:val="00067A17"/>
    <w:rsid w:val="00093000"/>
    <w:rsid w:val="000A028E"/>
    <w:rsid w:val="000A663E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82881"/>
    <w:rsid w:val="0018318A"/>
    <w:rsid w:val="001A543A"/>
    <w:rsid w:val="001D73FF"/>
    <w:rsid w:val="001E6D9E"/>
    <w:rsid w:val="001F1721"/>
    <w:rsid w:val="002006E1"/>
    <w:rsid w:val="0020084B"/>
    <w:rsid w:val="002144B2"/>
    <w:rsid w:val="0028715C"/>
    <w:rsid w:val="002959ED"/>
    <w:rsid w:val="002A5267"/>
    <w:rsid w:val="002A717B"/>
    <w:rsid w:val="002C1D73"/>
    <w:rsid w:val="003257D7"/>
    <w:rsid w:val="00326B58"/>
    <w:rsid w:val="00340D85"/>
    <w:rsid w:val="003868D0"/>
    <w:rsid w:val="003A4738"/>
    <w:rsid w:val="003A5828"/>
    <w:rsid w:val="003B02F7"/>
    <w:rsid w:val="004125D9"/>
    <w:rsid w:val="00454502"/>
    <w:rsid w:val="0046343D"/>
    <w:rsid w:val="00466E1B"/>
    <w:rsid w:val="004D3A43"/>
    <w:rsid w:val="004E7DE2"/>
    <w:rsid w:val="005332D0"/>
    <w:rsid w:val="0054721F"/>
    <w:rsid w:val="00567FF7"/>
    <w:rsid w:val="00571019"/>
    <w:rsid w:val="005808DF"/>
    <w:rsid w:val="00584643"/>
    <w:rsid w:val="005B7D1F"/>
    <w:rsid w:val="005C0D7F"/>
    <w:rsid w:val="005D3A85"/>
    <w:rsid w:val="005D5A78"/>
    <w:rsid w:val="005E3A86"/>
    <w:rsid w:val="005F7952"/>
    <w:rsid w:val="00612AF3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7054"/>
    <w:rsid w:val="007F0219"/>
    <w:rsid w:val="00824336"/>
    <w:rsid w:val="00834194"/>
    <w:rsid w:val="00872BDC"/>
    <w:rsid w:val="00872D56"/>
    <w:rsid w:val="00884DA3"/>
    <w:rsid w:val="00887562"/>
    <w:rsid w:val="008A534E"/>
    <w:rsid w:val="008A6B8A"/>
    <w:rsid w:val="008B49DB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856C8"/>
    <w:rsid w:val="009C202C"/>
    <w:rsid w:val="00A02EF1"/>
    <w:rsid w:val="00A107DE"/>
    <w:rsid w:val="00A25BD1"/>
    <w:rsid w:val="00A317DF"/>
    <w:rsid w:val="00AD2D03"/>
    <w:rsid w:val="00AE04C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C13958"/>
    <w:rsid w:val="00C80806"/>
    <w:rsid w:val="00CB728C"/>
    <w:rsid w:val="00D20BE6"/>
    <w:rsid w:val="00DA1988"/>
    <w:rsid w:val="00DA413C"/>
    <w:rsid w:val="00DA754F"/>
    <w:rsid w:val="00DB1C64"/>
    <w:rsid w:val="00DD3A42"/>
    <w:rsid w:val="00DD5811"/>
    <w:rsid w:val="00DE7733"/>
    <w:rsid w:val="00E171F8"/>
    <w:rsid w:val="00E56466"/>
    <w:rsid w:val="00E60F81"/>
    <w:rsid w:val="00E75435"/>
    <w:rsid w:val="00E8083C"/>
    <w:rsid w:val="00EA1FF6"/>
    <w:rsid w:val="00EC4A28"/>
    <w:rsid w:val="00EC4FDA"/>
    <w:rsid w:val="00EE06F5"/>
    <w:rsid w:val="00EF1261"/>
    <w:rsid w:val="00EF54C7"/>
    <w:rsid w:val="00F12407"/>
    <w:rsid w:val="00F4557F"/>
    <w:rsid w:val="00F56458"/>
    <w:rsid w:val="00F756E9"/>
    <w:rsid w:val="00F845FB"/>
    <w:rsid w:val="00F971F1"/>
    <w:rsid w:val="00FB0A74"/>
    <w:rsid w:val="00FB3AE2"/>
    <w:rsid w:val="00FC5A70"/>
    <w:rsid w:val="00FD0D54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39C86C3-A370-4722-B4C6-33B9DFAF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1770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2</cp:revision>
  <cp:lastPrinted>2000-10-12T21:12:00Z</cp:lastPrinted>
  <dcterms:created xsi:type="dcterms:W3CDTF">2016-03-07T16:17:00Z</dcterms:created>
  <dcterms:modified xsi:type="dcterms:W3CDTF">2016-03-07T16:17:00Z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