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1E285874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1E285874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10E2343D" w:rsidR="00733481" w:rsidRPr="00164651" w:rsidRDefault="005D30C9" w:rsidP="003A4738">
      <w:pPr>
        <w:pStyle w:val="Heading3"/>
        <w:spacing w:before="80" w:line="276" w:lineRule="auto"/>
        <w:rPr>
          <w:b/>
          <w:szCs w:val="32"/>
        </w:rPr>
      </w:pPr>
      <w:r w:rsidRPr="005D30C9">
        <w:rPr>
          <w:b/>
          <w:szCs w:val="32"/>
        </w:rPr>
        <w:t>Facility Security Plan</w:t>
      </w:r>
      <w:r>
        <w:rPr>
          <w:b/>
          <w:szCs w:val="32"/>
        </w:rPr>
        <w:t xml:space="preserve"> </w:t>
      </w:r>
      <w:r w:rsidRPr="005D30C9">
        <w:rPr>
          <w:b/>
          <w:szCs w:val="32"/>
        </w:rPr>
        <w:t>§164.310(a)(2)(ii)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39C74956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D62E1D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7D5D310B" w14:textId="44B06C4A" w:rsidR="00184911" w:rsidRPr="002237D2" w:rsidRDefault="003A4738" w:rsidP="00184911">
      <w:pPr>
        <w:spacing w:line="276" w:lineRule="auto"/>
        <w:rPr>
          <w:rFonts w:cs="Arial"/>
        </w:rPr>
      </w:pPr>
      <w:r w:rsidRPr="002237D2">
        <w:rPr>
          <w:rFonts w:cs="Arial"/>
          <w:b/>
        </w:rPr>
        <w:t>Policy</w:t>
      </w:r>
      <w:r w:rsidR="00A02EF1" w:rsidRPr="002237D2">
        <w:rPr>
          <w:rFonts w:cs="Arial"/>
          <w:b/>
        </w:rPr>
        <w:t>:</w:t>
      </w:r>
      <w:r w:rsidR="00030ABC" w:rsidRPr="002237D2">
        <w:rPr>
          <w:rFonts w:cs="Arial"/>
        </w:rPr>
        <w:t xml:space="preserve"> </w:t>
      </w:r>
      <w:r w:rsidR="005D30C9" w:rsidRPr="002237D2">
        <w:rPr>
          <w:rFonts w:cs="Arial"/>
        </w:rPr>
        <w:t xml:space="preserve">We must protect our information systems by preventing physical access, tampering and theft. </w:t>
      </w:r>
      <w:r w:rsidR="00184911">
        <w:rPr>
          <w:rFonts w:cs="Arial"/>
        </w:rPr>
        <w:t xml:space="preserve">Our </w:t>
      </w:r>
      <w:r w:rsidR="00184911" w:rsidRPr="00184911">
        <w:rPr>
          <w:rFonts w:cs="Arial"/>
        </w:rPr>
        <w:t xml:space="preserve">physical access controls allow individuals with legitimate business needs to obtain access to the facility and deny access to those without legitimate business needs. </w:t>
      </w:r>
    </w:p>
    <w:p w14:paraId="6607A978" w14:textId="77777777" w:rsidR="00184911" w:rsidRDefault="00184911" w:rsidP="00602D10">
      <w:pPr>
        <w:spacing w:line="276" w:lineRule="auto"/>
        <w:rPr>
          <w:rFonts w:cs="Arial"/>
        </w:rPr>
      </w:pPr>
    </w:p>
    <w:p w14:paraId="5C3DAA05" w14:textId="5AC11968" w:rsidR="006D11EA" w:rsidRPr="002237D2" w:rsidRDefault="0054721F" w:rsidP="006D11EA">
      <w:pPr>
        <w:spacing w:line="276" w:lineRule="auto"/>
        <w:rPr>
          <w:rFonts w:cs="Arial"/>
        </w:rPr>
      </w:pPr>
      <w:r w:rsidRPr="00F22502">
        <w:rPr>
          <w:rFonts w:cs="Arial"/>
          <w:b/>
        </w:rPr>
        <w:t>Procedures:</w:t>
      </w:r>
      <w:r w:rsidR="005D30C9" w:rsidRPr="00F22502">
        <w:rPr>
          <w:rFonts w:cs="Arial"/>
        </w:rPr>
        <w:t xml:space="preserve"> </w:t>
      </w:r>
      <w:r w:rsidR="00EF661C">
        <w:rPr>
          <w:rFonts w:cs="Arial"/>
        </w:rPr>
        <w:t xml:space="preserve">Our </w:t>
      </w:r>
      <w:r w:rsidR="00EF661C" w:rsidRPr="006D11EA">
        <w:rPr>
          <w:rFonts w:cs="Arial"/>
          <w:szCs w:val="22"/>
        </w:rPr>
        <w:t xml:space="preserve">facility security plan is primarily concerned with restricting physical access by unauthorized people. </w:t>
      </w:r>
      <w:r w:rsidR="006D11EA" w:rsidRPr="002237D2">
        <w:rPr>
          <w:rFonts w:cs="Arial"/>
        </w:rPr>
        <w:t xml:space="preserve">We must maintain and regularly review </w:t>
      </w:r>
      <w:r w:rsidR="006D11EA">
        <w:rPr>
          <w:rFonts w:cs="Arial"/>
        </w:rPr>
        <w:t xml:space="preserve">our </w:t>
      </w:r>
      <w:r w:rsidR="006D11EA" w:rsidRPr="002237D2">
        <w:rPr>
          <w:rFonts w:cs="Arial"/>
        </w:rPr>
        <w:t xml:space="preserve">facility security plan </w:t>
      </w:r>
      <w:r w:rsidR="006D11EA">
        <w:rPr>
          <w:rFonts w:cs="Arial"/>
        </w:rPr>
        <w:t xml:space="preserve">procedures </w:t>
      </w:r>
      <w:r w:rsidR="006D11EA" w:rsidRPr="002237D2">
        <w:rPr>
          <w:rFonts w:cs="Arial"/>
        </w:rPr>
        <w:t xml:space="preserve">that describe how our office and equipment will be appropriately protected. 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21197678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6D11EA" w:rsidRPr="002237D2">
        <w:rPr>
          <w:rFonts w:cs="Arial"/>
        </w:rPr>
        <w:t xml:space="preserve">facility security plan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2B4FE547" w14:textId="53469D65" w:rsidR="00335677" w:rsidRDefault="00214FF7" w:rsidP="00335677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All facility exterior doors and window are equipped with a locking mecha</w:t>
      </w:r>
      <w:r w:rsidR="00335677">
        <w:rPr>
          <w:rFonts w:cs="Arial"/>
          <w:szCs w:val="22"/>
        </w:rPr>
        <w:t>nism.</w:t>
      </w:r>
      <w:r w:rsidR="00897AB2">
        <w:rPr>
          <w:rFonts w:cs="Arial"/>
          <w:szCs w:val="22"/>
        </w:rPr>
        <w:t xml:space="preserve"> The facility will be locked during non-business hours.</w:t>
      </w:r>
    </w:p>
    <w:p w14:paraId="7CAE6471" w14:textId="23AD5076" w:rsidR="00335677" w:rsidRDefault="00335677" w:rsidP="00335677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A security alarm system is in place to protect the facility during non-business hours.</w:t>
      </w:r>
    </w:p>
    <w:p w14:paraId="68B6ACE1" w14:textId="42A688BC" w:rsidR="00335677" w:rsidRDefault="00335677" w:rsidP="00335677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Keys</w:t>
      </w:r>
      <w:r w:rsidRPr="006D11EA">
        <w:rPr>
          <w:rFonts w:cs="Arial"/>
          <w:szCs w:val="22"/>
        </w:rPr>
        <w:t xml:space="preserve"> </w:t>
      </w:r>
      <w:r w:rsidR="00897AB2">
        <w:rPr>
          <w:rFonts w:cs="Arial"/>
          <w:szCs w:val="22"/>
        </w:rPr>
        <w:t xml:space="preserve">and security codes </w:t>
      </w:r>
      <w:r w:rsidRPr="006D11EA">
        <w:rPr>
          <w:rFonts w:cs="Arial"/>
          <w:szCs w:val="22"/>
        </w:rPr>
        <w:t xml:space="preserve">to facilities </w:t>
      </w:r>
      <w:r>
        <w:rPr>
          <w:rFonts w:cs="Arial"/>
          <w:szCs w:val="22"/>
        </w:rPr>
        <w:t xml:space="preserve">are issued </w:t>
      </w:r>
      <w:r w:rsidRPr="006D11EA">
        <w:rPr>
          <w:rFonts w:cs="Arial"/>
          <w:szCs w:val="22"/>
        </w:rPr>
        <w:t xml:space="preserve">on an as needed basis as defined by management. </w:t>
      </w:r>
      <w:r>
        <w:rPr>
          <w:rFonts w:cs="Arial"/>
          <w:szCs w:val="22"/>
        </w:rPr>
        <w:t xml:space="preserve">A </w:t>
      </w:r>
      <w:r w:rsidRPr="006D11EA">
        <w:rPr>
          <w:rFonts w:cs="Arial"/>
          <w:szCs w:val="22"/>
        </w:rPr>
        <w:t xml:space="preserve">list of distributed keys </w:t>
      </w:r>
      <w:r w:rsidR="00897AB2">
        <w:rPr>
          <w:rFonts w:cs="Arial"/>
          <w:szCs w:val="22"/>
        </w:rPr>
        <w:t xml:space="preserve">and security codes </w:t>
      </w:r>
      <w:r>
        <w:rPr>
          <w:rFonts w:cs="Arial"/>
          <w:szCs w:val="22"/>
        </w:rPr>
        <w:t xml:space="preserve">is maintained. </w:t>
      </w:r>
    </w:p>
    <w:p w14:paraId="16D24C4E" w14:textId="77777777" w:rsidR="000A2384" w:rsidRPr="006D11EA" w:rsidRDefault="000A2384" w:rsidP="000A2384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6D11EA">
        <w:rPr>
          <w:rFonts w:cs="Arial"/>
          <w:szCs w:val="22"/>
        </w:rPr>
        <w:t>Workforce members are responsible for safeguarding their assigned key. Keys shall not be lent to others and the loss of a key shall immediately be reported to the Security Official.</w:t>
      </w:r>
    </w:p>
    <w:p w14:paraId="62F6767D" w14:textId="1A82E717" w:rsidR="00335677" w:rsidRPr="00375FFE" w:rsidRDefault="00335677" w:rsidP="00335677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</w:rPr>
      </w:pPr>
      <w:r>
        <w:rPr>
          <w:rFonts w:cs="Arial"/>
          <w:szCs w:val="22"/>
        </w:rPr>
        <w:t>K</w:t>
      </w:r>
      <w:r w:rsidRPr="006D11EA">
        <w:rPr>
          <w:rFonts w:cs="Arial"/>
          <w:szCs w:val="22"/>
        </w:rPr>
        <w:t xml:space="preserve">eys are collected from </w:t>
      </w:r>
      <w:r>
        <w:rPr>
          <w:rFonts w:cs="Arial"/>
          <w:szCs w:val="22"/>
        </w:rPr>
        <w:t>authorized personnel</w:t>
      </w:r>
      <w:r w:rsidRPr="006D11EA">
        <w:rPr>
          <w:rFonts w:cs="Arial"/>
          <w:szCs w:val="22"/>
        </w:rPr>
        <w:t xml:space="preserve"> </w:t>
      </w:r>
      <w:r w:rsidR="00897AB2">
        <w:rPr>
          <w:rFonts w:cs="Arial"/>
          <w:szCs w:val="22"/>
        </w:rPr>
        <w:t xml:space="preserve">and security codes are deleted </w:t>
      </w:r>
      <w:r>
        <w:rPr>
          <w:rFonts w:cs="Arial"/>
          <w:szCs w:val="22"/>
        </w:rPr>
        <w:t xml:space="preserve">when access to facilities is </w:t>
      </w:r>
      <w:r w:rsidRPr="006D11EA">
        <w:rPr>
          <w:rFonts w:cs="Arial"/>
          <w:szCs w:val="22"/>
        </w:rPr>
        <w:t>no longer require</w:t>
      </w:r>
      <w:r w:rsidR="00D479A1">
        <w:rPr>
          <w:rFonts w:cs="Arial"/>
          <w:szCs w:val="22"/>
        </w:rPr>
        <w:t>d</w:t>
      </w:r>
      <w:r>
        <w:rPr>
          <w:rFonts w:cs="Arial"/>
          <w:szCs w:val="22"/>
        </w:rPr>
        <w:t>.</w:t>
      </w:r>
      <w:r w:rsidR="00375FFE">
        <w:rPr>
          <w:rFonts w:ascii="Calibri" w:hAnsi="Calibri"/>
          <w:color w:val="000000"/>
          <w:sz w:val="18"/>
          <w:szCs w:val="18"/>
        </w:rPr>
        <w:t xml:space="preserve"> </w:t>
      </w:r>
      <w:r w:rsidR="00375FFE" w:rsidRPr="00375FFE">
        <w:rPr>
          <w:rFonts w:cs="Arial"/>
          <w:color w:val="000000"/>
        </w:rPr>
        <w:t>Loc</w:t>
      </w:r>
      <w:r w:rsidR="00375FFE">
        <w:rPr>
          <w:rFonts w:cs="Arial"/>
          <w:color w:val="000000"/>
        </w:rPr>
        <w:t>ks will be changed at the discretion of management.</w:t>
      </w:r>
    </w:p>
    <w:p w14:paraId="6DE5DA61" w14:textId="3520B75D" w:rsidR="00214FF7" w:rsidRDefault="00335677" w:rsidP="00214FF7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All facility exterior doors other than doors designated for patient</w:t>
      </w:r>
      <w:r w:rsidR="00C72B39">
        <w:rPr>
          <w:rFonts w:cs="Arial"/>
          <w:szCs w:val="22"/>
        </w:rPr>
        <w:t>s</w:t>
      </w:r>
      <w:r>
        <w:rPr>
          <w:rFonts w:cs="Arial"/>
          <w:szCs w:val="22"/>
        </w:rPr>
        <w:t>/visitor</w:t>
      </w:r>
      <w:r w:rsidR="00C72B39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entry </w:t>
      </w:r>
      <w:r w:rsidR="00CE30ED">
        <w:rPr>
          <w:rFonts w:cs="Arial"/>
          <w:szCs w:val="22"/>
        </w:rPr>
        <w:t xml:space="preserve">will remain secure to prevent </w:t>
      </w:r>
      <w:r w:rsidR="00897AB2">
        <w:rPr>
          <w:rFonts w:cs="Arial"/>
          <w:szCs w:val="22"/>
        </w:rPr>
        <w:t xml:space="preserve">unauthorized </w:t>
      </w:r>
      <w:r w:rsidR="00CE30ED">
        <w:rPr>
          <w:rFonts w:cs="Arial"/>
          <w:szCs w:val="22"/>
        </w:rPr>
        <w:t>entry into the facility from the outside.</w:t>
      </w:r>
      <w:r w:rsidR="00F07099">
        <w:rPr>
          <w:rFonts w:cs="Arial"/>
          <w:szCs w:val="22"/>
        </w:rPr>
        <w:t xml:space="preserve"> For fire purposes, all exterior doors will allow </w:t>
      </w:r>
      <w:r w:rsidR="00E15D5E">
        <w:rPr>
          <w:rFonts w:cs="Arial"/>
          <w:szCs w:val="22"/>
        </w:rPr>
        <w:t xml:space="preserve">emergency </w:t>
      </w:r>
      <w:r w:rsidR="00F07099">
        <w:rPr>
          <w:rFonts w:cs="Arial"/>
          <w:szCs w:val="22"/>
        </w:rPr>
        <w:t>exit from the facility during business hours.</w:t>
      </w:r>
    </w:p>
    <w:p w14:paraId="0EAEBBE9" w14:textId="5F5B951B" w:rsidR="0055309B" w:rsidRDefault="00C72B39" w:rsidP="00C72B39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S</w:t>
      </w:r>
      <w:r w:rsidRPr="00C72B39">
        <w:rPr>
          <w:rFonts w:cs="Arial"/>
          <w:szCs w:val="22"/>
        </w:rPr>
        <w:t>ign</w:t>
      </w:r>
      <w:r>
        <w:rPr>
          <w:rFonts w:cs="Arial"/>
          <w:szCs w:val="22"/>
        </w:rPr>
        <w:t xml:space="preserve">s are </w:t>
      </w:r>
      <w:r w:rsidRPr="00C72B39">
        <w:rPr>
          <w:rFonts w:cs="Arial"/>
          <w:szCs w:val="22"/>
        </w:rPr>
        <w:t xml:space="preserve">displayed </w:t>
      </w:r>
      <w:r w:rsidR="00F831F4">
        <w:rPr>
          <w:rFonts w:cs="Arial"/>
          <w:szCs w:val="22"/>
        </w:rPr>
        <w:t xml:space="preserve">and interior entry doors are locked </w:t>
      </w:r>
      <w:r w:rsidRPr="00C72B39">
        <w:rPr>
          <w:rFonts w:cs="Arial"/>
          <w:szCs w:val="22"/>
        </w:rPr>
        <w:t>to prevent patients</w:t>
      </w:r>
      <w:r>
        <w:rPr>
          <w:rFonts w:cs="Arial"/>
          <w:szCs w:val="22"/>
        </w:rPr>
        <w:t xml:space="preserve">/ </w:t>
      </w:r>
      <w:r w:rsidRPr="00C72B39">
        <w:rPr>
          <w:rFonts w:cs="Arial"/>
          <w:szCs w:val="22"/>
        </w:rPr>
        <w:t xml:space="preserve">visitors </w:t>
      </w:r>
      <w:r>
        <w:rPr>
          <w:rFonts w:cs="Arial"/>
          <w:szCs w:val="22"/>
        </w:rPr>
        <w:t xml:space="preserve">from </w:t>
      </w:r>
      <w:r w:rsidRPr="00C72B39">
        <w:rPr>
          <w:rFonts w:cs="Arial"/>
          <w:szCs w:val="22"/>
        </w:rPr>
        <w:t xml:space="preserve">entering </w:t>
      </w:r>
      <w:r>
        <w:rPr>
          <w:rFonts w:cs="Arial"/>
          <w:szCs w:val="22"/>
        </w:rPr>
        <w:t xml:space="preserve">restricted areas </w:t>
      </w:r>
      <w:r w:rsidRPr="00C72B39">
        <w:rPr>
          <w:rFonts w:cs="Arial"/>
          <w:szCs w:val="22"/>
        </w:rPr>
        <w:t>without an escort.</w:t>
      </w:r>
      <w:r w:rsidR="00F831F4">
        <w:rPr>
          <w:rFonts w:cs="Arial"/>
          <w:szCs w:val="22"/>
        </w:rPr>
        <w:t xml:space="preserve"> </w:t>
      </w:r>
    </w:p>
    <w:p w14:paraId="57740DD7" w14:textId="5E67FA5B" w:rsidR="00A90B99" w:rsidRDefault="00A90B99" w:rsidP="00A90B99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E</w:t>
      </w:r>
      <w:r w:rsidRPr="00A90B99">
        <w:rPr>
          <w:rFonts w:cs="Arial"/>
          <w:szCs w:val="22"/>
        </w:rPr>
        <w:t xml:space="preserve">mergency </w:t>
      </w:r>
      <w:r>
        <w:rPr>
          <w:rFonts w:cs="Arial"/>
          <w:szCs w:val="22"/>
        </w:rPr>
        <w:t xml:space="preserve">exit </w:t>
      </w:r>
      <w:r w:rsidRPr="00A90B99">
        <w:rPr>
          <w:rFonts w:cs="Arial"/>
          <w:szCs w:val="22"/>
        </w:rPr>
        <w:t xml:space="preserve">signs </w:t>
      </w:r>
      <w:r>
        <w:rPr>
          <w:rFonts w:cs="Arial"/>
          <w:szCs w:val="22"/>
        </w:rPr>
        <w:t xml:space="preserve">and </w:t>
      </w:r>
      <w:r w:rsidRPr="00A90B99">
        <w:rPr>
          <w:rFonts w:cs="Arial"/>
          <w:szCs w:val="22"/>
        </w:rPr>
        <w:t>light</w:t>
      </w:r>
      <w:r>
        <w:rPr>
          <w:rFonts w:cs="Arial"/>
          <w:szCs w:val="22"/>
        </w:rPr>
        <w:t>ing are in place</w:t>
      </w:r>
      <w:r w:rsidRPr="00A90B99">
        <w:rPr>
          <w:rFonts w:cs="Arial"/>
          <w:szCs w:val="22"/>
        </w:rPr>
        <w:t>.</w:t>
      </w:r>
    </w:p>
    <w:p w14:paraId="73567853" w14:textId="77777777" w:rsidR="006D11EA" w:rsidRPr="006D11EA" w:rsidRDefault="006D11EA" w:rsidP="006D11EA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6D11EA">
        <w:rPr>
          <w:rFonts w:cs="Arial"/>
          <w:szCs w:val="22"/>
        </w:rPr>
        <w:t>Security access violations will be investigated by the Security Official.</w:t>
      </w:r>
    </w:p>
    <w:p w14:paraId="1A2655FB" w14:textId="25BDD6E0" w:rsidR="003A5828" w:rsidRPr="00F302DD" w:rsidRDefault="003A5828" w:rsidP="006D11EA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(e.g. </w:t>
      </w:r>
      <w:r w:rsidR="000A2384">
        <w:rPr>
          <w:rFonts w:cs="Arial"/>
        </w:rPr>
        <w:t xml:space="preserve">policies and </w:t>
      </w:r>
      <w:r w:rsidR="007D3FE3">
        <w:rPr>
          <w:rFonts w:cs="Arial"/>
        </w:rPr>
        <w:t>procedures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D724B" w14:textId="77777777" w:rsidR="00E31738" w:rsidRDefault="00E31738">
      <w:r>
        <w:separator/>
      </w:r>
    </w:p>
  </w:endnote>
  <w:endnote w:type="continuationSeparator" w:id="0">
    <w:p w14:paraId="6C054173" w14:textId="77777777" w:rsidR="00E31738" w:rsidRDefault="00E3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687EEC02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2243DB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2243DB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CA412" w14:textId="77777777" w:rsidR="00E31738" w:rsidRDefault="00E31738">
      <w:r>
        <w:separator/>
      </w:r>
    </w:p>
  </w:footnote>
  <w:footnote w:type="continuationSeparator" w:id="0">
    <w:p w14:paraId="328E904F" w14:textId="77777777" w:rsidR="00E31738" w:rsidRDefault="00E31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748A0"/>
    <w:multiLevelType w:val="hybridMultilevel"/>
    <w:tmpl w:val="23DA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04D22"/>
    <w:rsid w:val="00014DE6"/>
    <w:rsid w:val="00014E8B"/>
    <w:rsid w:val="00026614"/>
    <w:rsid w:val="00030ABC"/>
    <w:rsid w:val="00036E13"/>
    <w:rsid w:val="000472F1"/>
    <w:rsid w:val="00056CA2"/>
    <w:rsid w:val="00067A17"/>
    <w:rsid w:val="000A028E"/>
    <w:rsid w:val="000A2384"/>
    <w:rsid w:val="000A663E"/>
    <w:rsid w:val="000C330B"/>
    <w:rsid w:val="000D25C5"/>
    <w:rsid w:val="000D6CEE"/>
    <w:rsid w:val="00105DEA"/>
    <w:rsid w:val="00111816"/>
    <w:rsid w:val="00133664"/>
    <w:rsid w:val="00150845"/>
    <w:rsid w:val="00152D23"/>
    <w:rsid w:val="00164651"/>
    <w:rsid w:val="00165169"/>
    <w:rsid w:val="00182881"/>
    <w:rsid w:val="0018318A"/>
    <w:rsid w:val="00184911"/>
    <w:rsid w:val="001A543A"/>
    <w:rsid w:val="001D73FF"/>
    <w:rsid w:val="001E6D9E"/>
    <w:rsid w:val="001F1721"/>
    <w:rsid w:val="002006E1"/>
    <w:rsid w:val="002048E0"/>
    <w:rsid w:val="00204EEB"/>
    <w:rsid w:val="002144B2"/>
    <w:rsid w:val="00214FF7"/>
    <w:rsid w:val="002237D2"/>
    <w:rsid w:val="002243DB"/>
    <w:rsid w:val="0028715C"/>
    <w:rsid w:val="002959ED"/>
    <w:rsid w:val="002A1DBF"/>
    <w:rsid w:val="002A5267"/>
    <w:rsid w:val="002C1D73"/>
    <w:rsid w:val="00300B01"/>
    <w:rsid w:val="003257D7"/>
    <w:rsid w:val="00326B58"/>
    <w:rsid w:val="00335677"/>
    <w:rsid w:val="00340D85"/>
    <w:rsid w:val="003466F1"/>
    <w:rsid w:val="003522E6"/>
    <w:rsid w:val="00364409"/>
    <w:rsid w:val="00375FFE"/>
    <w:rsid w:val="003868D0"/>
    <w:rsid w:val="00394B7A"/>
    <w:rsid w:val="003A4738"/>
    <w:rsid w:val="003A5828"/>
    <w:rsid w:val="003B02F7"/>
    <w:rsid w:val="004125D9"/>
    <w:rsid w:val="00454502"/>
    <w:rsid w:val="0046343D"/>
    <w:rsid w:val="00466E1B"/>
    <w:rsid w:val="00481851"/>
    <w:rsid w:val="004D3A43"/>
    <w:rsid w:val="004E7DE2"/>
    <w:rsid w:val="004F43B6"/>
    <w:rsid w:val="005312A2"/>
    <w:rsid w:val="0054721F"/>
    <w:rsid w:val="0055309B"/>
    <w:rsid w:val="00567FF7"/>
    <w:rsid w:val="00571019"/>
    <w:rsid w:val="005808DF"/>
    <w:rsid w:val="00584643"/>
    <w:rsid w:val="005B7D1F"/>
    <w:rsid w:val="005C0D7F"/>
    <w:rsid w:val="005D30C9"/>
    <w:rsid w:val="005D3A85"/>
    <w:rsid w:val="005D5A78"/>
    <w:rsid w:val="005E3A86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D59"/>
    <w:rsid w:val="006900D7"/>
    <w:rsid w:val="006D0A8A"/>
    <w:rsid w:val="006D11EA"/>
    <w:rsid w:val="006D1970"/>
    <w:rsid w:val="006D346C"/>
    <w:rsid w:val="006F4F9E"/>
    <w:rsid w:val="006F7C89"/>
    <w:rsid w:val="00723D3A"/>
    <w:rsid w:val="00733481"/>
    <w:rsid w:val="00734D07"/>
    <w:rsid w:val="00735247"/>
    <w:rsid w:val="0074401D"/>
    <w:rsid w:val="00755180"/>
    <w:rsid w:val="00763A04"/>
    <w:rsid w:val="00792A2D"/>
    <w:rsid w:val="007946AF"/>
    <w:rsid w:val="007C66B8"/>
    <w:rsid w:val="007C7054"/>
    <w:rsid w:val="007D3FE3"/>
    <w:rsid w:val="007F0219"/>
    <w:rsid w:val="00824336"/>
    <w:rsid w:val="00834194"/>
    <w:rsid w:val="00872BDC"/>
    <w:rsid w:val="00872D56"/>
    <w:rsid w:val="00884DA3"/>
    <w:rsid w:val="00887562"/>
    <w:rsid w:val="00897AB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47A55"/>
    <w:rsid w:val="009516B7"/>
    <w:rsid w:val="009541BA"/>
    <w:rsid w:val="009C202C"/>
    <w:rsid w:val="009D2631"/>
    <w:rsid w:val="00A02EF1"/>
    <w:rsid w:val="00A107DE"/>
    <w:rsid w:val="00A25BD1"/>
    <w:rsid w:val="00A317DF"/>
    <w:rsid w:val="00A52FA6"/>
    <w:rsid w:val="00A90B99"/>
    <w:rsid w:val="00AB2F55"/>
    <w:rsid w:val="00AB5909"/>
    <w:rsid w:val="00AD2D03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C2319A"/>
    <w:rsid w:val="00C72B39"/>
    <w:rsid w:val="00CE30ED"/>
    <w:rsid w:val="00D028E5"/>
    <w:rsid w:val="00D20BE6"/>
    <w:rsid w:val="00D479A1"/>
    <w:rsid w:val="00D62E1D"/>
    <w:rsid w:val="00DA1988"/>
    <w:rsid w:val="00DA413C"/>
    <w:rsid w:val="00DA754F"/>
    <w:rsid w:val="00DB1C64"/>
    <w:rsid w:val="00DD3A42"/>
    <w:rsid w:val="00DD5811"/>
    <w:rsid w:val="00DE7733"/>
    <w:rsid w:val="00E15D5E"/>
    <w:rsid w:val="00E171F8"/>
    <w:rsid w:val="00E31738"/>
    <w:rsid w:val="00E56466"/>
    <w:rsid w:val="00E651DA"/>
    <w:rsid w:val="00E75435"/>
    <w:rsid w:val="00E8083C"/>
    <w:rsid w:val="00EC4A28"/>
    <w:rsid w:val="00EC4FDA"/>
    <w:rsid w:val="00ED3403"/>
    <w:rsid w:val="00EE06F5"/>
    <w:rsid w:val="00EF1261"/>
    <w:rsid w:val="00EF54C7"/>
    <w:rsid w:val="00EF661C"/>
    <w:rsid w:val="00F07099"/>
    <w:rsid w:val="00F12407"/>
    <w:rsid w:val="00F210E7"/>
    <w:rsid w:val="00F22502"/>
    <w:rsid w:val="00F302DD"/>
    <w:rsid w:val="00F4557F"/>
    <w:rsid w:val="00F52522"/>
    <w:rsid w:val="00F56458"/>
    <w:rsid w:val="00F75131"/>
    <w:rsid w:val="00F756E9"/>
    <w:rsid w:val="00F831F4"/>
    <w:rsid w:val="00F845FB"/>
    <w:rsid w:val="00F971F1"/>
    <w:rsid w:val="00FB0A74"/>
    <w:rsid w:val="00FB207A"/>
    <w:rsid w:val="00FB3AE2"/>
    <w:rsid w:val="00FC4C9E"/>
    <w:rsid w:val="00FC5A70"/>
    <w:rsid w:val="00FD0D54"/>
    <w:rsid w:val="00FD112A"/>
    <w:rsid w:val="00FD25D4"/>
    <w:rsid w:val="00FD388C"/>
    <w:rsid w:val="00FD72C8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EB21510-1017-4689-83BB-75C2F5BB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27</cp:revision>
  <cp:lastPrinted>2000-10-12T21:12:00Z</cp:lastPrinted>
  <dcterms:created xsi:type="dcterms:W3CDTF">2015-05-26T15:05:00Z</dcterms:created>
  <dcterms:modified xsi:type="dcterms:W3CDTF">2016-03-09T00:13:00Z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