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Existing approaches either store flat facts without a notion of confidence, or inject all retrieved context regardless of relevance, causing token costs to explode with memory size.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rFonts w:ascii="Times New Roman" w:cs="Times New Roman" w:hAnsi="Times New Roman" w:eastAsia="Times New Roman"/>
          <w:outline w:val="0"/>
          <w:color w:val="000000"/>
          <w:sz w:val="24"/>
          <w:u w:color="000000"/>
          <w14:textFill>
            <w14:solidFill>
              <w14:srgbClr w14:val="000000"/>
            </w14:solidFill>
          </w14:textFill>
        </w:rPr>
      </w:pPr>
      <w:r>
        <w:rPr>
          <w:rFonts w:ascii="Times New Roman" w:hAnsi="Times New Roman"/>
          <w:rtl w:val="0"/>
          <w:lang w:val="en-US"/>
        </w:rPr>
        <w:t xml:space="preserve">Two families of systems address parts of this problem, each with a critical gap. </w:t>
      </w:r>
      <w:r>
        <w:rPr>
          <w:rFonts w:ascii="Times New Roman" w:hAnsi="Times New Roman"/>
          <w:i w:val="1"/>
          <w:iCs w:val="1"/>
          <w:rtl w:val="0"/>
          <w:lang w:val="en-US"/>
        </w:rPr>
        <w:t>Fact stores</w:t>
      </w:r>
      <w:r>
        <w:rPr>
          <w:rFonts w:ascii="Times New Roman" w:hAnsi="Times New Roman"/>
          <w:rtl w:val="0"/>
          <w:lang w:val="en-US"/>
        </w:rPr>
        <w:t xml:space="preserve"> such as Mem0</w:t>
      </w:r>
      <w:r>
        <w:rPr>
          <w:rFonts w:ascii="Times New Roman" w:hAnsi="Times New Roman" w:hint="default"/>
          <w:rtl w:val="0"/>
          <w:lang w:val="en-US"/>
        </w:rPr>
        <w:t> </w:t>
      </w:r>
      <w:r>
        <w:rPr>
          <w:rFonts w:ascii="Times New Roman" w:hAnsi="Times New Roman"/>
          <w:rtl w:val="0"/>
          <w:lang w:val="en-US"/>
        </w:rPr>
        <w:t xml:space="preserve">(Chhikara et al. 2025) persist extracted facts but treat all memories equally: a firmly held professional identity and a passing mention of a tool have the same standing, and there is no mechanism for a memory to earn trust over time. </w:t>
      </w:r>
      <w:r>
        <w:rPr>
          <w:rFonts w:ascii="Times New Roman" w:hAnsi="Times New Roman"/>
          <w:i w:val="1"/>
          <w:iCs w:val="1"/>
          <w:rtl w:val="0"/>
          <w:lang w:val="en-US"/>
        </w:rPr>
        <w:t>Retrieval-augmented generation</w:t>
      </w:r>
      <w:r>
        <w:rPr>
          <w:rFonts w:ascii="Times New Roman" w:hAnsi="Times New Roman"/>
          <w:rtl w:val="0"/>
          <w:lang w:val="en-US"/>
        </w:rPr>
        <w:t xml:space="preserve"> (RAG)</w:t>
      </w:r>
      <w:r>
        <w:rPr>
          <w:rFonts w:ascii="Times New Roman" w:hAnsi="Times New Roman" w:hint="default"/>
          <w:rtl w:val="0"/>
          <w:lang w:val="en-US"/>
        </w:rPr>
        <w:t> </w:t>
      </w:r>
      <w:r>
        <w:rPr>
          <w:rFonts w:ascii="Times New Roman" w:hAnsi="Times New Roman"/>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 it does not verify facts or stop deliberate poisoning.</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emoryforllmagents." w:id="3"/>
      <w:r>
        <w:rPr>
          <w:rStyle w:val="无"/>
          <w:rFonts w:ascii="Times New Roman" w:hAnsi="Times New Roman"/>
          <w:outline w:val="0"/>
          <w:color w:val="000000"/>
          <w:u w:color="000000"/>
          <w:rtl w:val="0"/>
          <w:lang w:val="en-US"/>
          <w14:textFill>
            <w14:solidFill>
              <w14:srgbClr w14:val="000000"/>
            </w14:solidFill>
          </w14:textFill>
        </w:rPr>
        <w:t>Memory for LLM agents.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MemGPT</w:t>
      </w:r>
      <w:r>
        <w:rPr>
          <w:rStyle w:val="无"/>
          <w:rFonts w:ascii="Times New Roman" w:hAnsi="Times New Roman" w:hint="default"/>
          <w:rtl w:val="0"/>
          <w:lang w:val="en-US"/>
        </w:rPr>
        <w:t> </w:t>
      </w:r>
      <w:r>
        <w:rPr>
          <w:rStyle w:val="无"/>
          <w:rFonts w:ascii="Times New Roman" w:hAnsi="Times New Roman"/>
          <w:rtl w:val="0"/>
          <w:lang w:val="en-US"/>
        </w:rPr>
        <w:t>(Packer et al. 2023) treats the LLM as an operating system paging memory between contexts; Letta extends this with archival storage. 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updates atomic facts with an LLM pipeline, reporting gains over full-history baselines; A-MEM (Xu et al. 2025) links memories into an evolving Zettelkasten-style network, and Zep (Rasmussen et al. 2025) stores them in a temporal knowledge graph. Generative Agents (Park et al. 2023) rank memories by recency, importance, and relevance, and MemoryBank (Zhong et al. 2024) lets them fade along an Ebbinghaus forgetting curve, the closest precedents for Noesis</w:t>
      </w:r>
      <w:r>
        <w:rPr>
          <w:rStyle w:val="无"/>
          <w:rFonts w:ascii="Times New Roman" w:hAnsi="Times New Roman" w:hint="default"/>
          <w:rtl w:val="0"/>
          <w:lang w:val="en-US"/>
        </w:rPr>
        <w:t>’</w:t>
      </w:r>
      <w:r>
        <w:rPr>
          <w:rStyle w:val="无"/>
          <w:rFonts w:ascii="Times New Roman" w:hAnsi="Times New Roman"/>
          <w:rtl w:val="0"/>
          <w:lang w:val="en-US"/>
        </w:rPr>
        <w:t>s type-specific decay. OpenMemory MCP (Mem0 2025) already shares one local store across MCP clients such as Cursor and Claude Desktop. Noesis differs in (a) its lifecycle, where a memory must earn injection rights before it reaches the prompt, and (b) its entry points beyond MCP: an OpenAI-compatible proxy and a browser extension make clients outside MCP first-class participants. Benchmarks such as LoCoMo (Maharana et al. 2024) and LongMemEval (Wu et al. 2025) offer standard long-term-memory evaluations that this paper does not yet use.</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demonstrates a structural advantage of user-scoped rather than tool-scoped memory.</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8"/>
            <w:szCs w:val="28"/>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4"/>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4"/>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stored memory graph is visualized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decides which thoughts may be injected: in constructed tests its gate kept tentative and hedged statements out of the prompt where plain retrieval let them in, though it judges how firmly something was said, not whether it is true, and is no defense against deliberate poisoning.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lets a 4B local model reach nearly the keyword-hit rate of a small cloud model (82.7% vs. 85.5% for Gemini Flash-Lite; the gap is not significant on this set, though that does not show the two are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Fonts w:ascii="Times New Roman" w:cs="Times New Roman" w:hAnsi="Times New Roman" w:eastAsia="Times New Roman"/>
        </w:rPr>
      </w:pPr>
      <w:bookmarkStart w:name="refselfrag" w:id="43"/>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Mem0 blog, May 13, 2025. https://mem0.ai/blog/introducing-openmemory-mcp.</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Kai Mei, Hang Gao, Juntao Tan, Zujie Liang,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