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2: Classifying Matter: Pure Substances vs. Mixtures (Day 2 of 2)</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classify matter as a pure substance or mixture and further distinguish between elements, compounds, homogeneous mixtures, and heterogeneous mixtures based on observable properties.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classify matter as a pure substance or mixture and further distinguish between elements, compounds, homogeneous mixtures, and heterogeneous mixtures based on observable properties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Sample set per group: salt, sand, iron filings, trail mix, distilled water</w:t>
      </w:r>
    </w:p>
    <w:p>
      <w:pPr>
        <w:pStyle w:val="ListBullet"/>
        <w:spacing w:before="20" w:after="20"/>
      </w:pPr>
      <w:r>
        <w:rPr>
          <w:rFonts w:ascii="Calibri" w:hAnsi="Calibri"/>
          <w:b w:val="0"/>
          <w:i w:val="0"/>
          <w:color w:val="000000"/>
          <w:sz w:val="22"/>
          <w:u w:val="none"/>
        </w:rPr>
        <w:t>Hand lenses (1 per student)</w:t>
      </w:r>
    </w:p>
    <w:p>
      <w:pPr>
        <w:pStyle w:val="ListBullet"/>
        <w:spacing w:before="20" w:after="20"/>
      </w:pPr>
      <w:r>
        <w:rPr>
          <w:rFonts w:ascii="Calibri" w:hAnsi="Calibri"/>
          <w:b w:val="0"/>
          <w:i w:val="0"/>
          <w:color w:val="000000"/>
          <w:sz w:val="22"/>
          <w:u w:val="none"/>
        </w:rPr>
        <w:t>Magnets (1 per group)</w:t>
      </w:r>
    </w:p>
    <w:p>
      <w:pPr>
        <w:pStyle w:val="ListBullet"/>
        <w:spacing w:before="20" w:after="20"/>
      </w:pPr>
      <w:r>
        <w:rPr>
          <w:rFonts w:ascii="Calibri" w:hAnsi="Calibri"/>
          <w:b w:val="0"/>
          <w:i w:val="0"/>
          <w:color w:val="000000"/>
          <w:sz w:val="22"/>
          <w:u w:val="none"/>
        </w:rPr>
        <w:t>Classification graphic organizer (printed)</w:t>
      </w:r>
    </w:p>
    <w:p>
      <w:pPr>
        <w:pStyle w:val="ListBullet"/>
        <w:spacing w:before="20" w:after="20"/>
      </w:pPr>
      <w:r>
        <w:rPr>
          <w:rFonts w:ascii="Calibri" w:hAnsi="Calibri"/>
          <w:b w:val="0"/>
          <w:i w:val="0"/>
          <w:color w:val="000000"/>
          <w:sz w:val="22"/>
          <w:u w:val="none"/>
        </w:rPr>
        <w:t>Matter Classification anchor chart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a short video clip of a street food vendor making cotton candy. Ask: Is cotton candy the same substance as the sugar that went in? Students turn-and-talk, then share out. Chart initial ideas on the board.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In groups of 3, students examine the sample set using hand lenses and magnets. They record observations in a T-chart (what they see vs. what they infer about composition). Groups attempt to sort substances into categories and post their sorting criteria on sticky notes.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Teacher-led discussion building the classification hierarchy: Matter splits into Pure Substances (Elements, Compounds) and Mixtures (Homogeneous, Heterogeneous). Students label their samples using the new vocabulary and complete the graphic organizer with definitions and examples for each category.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receive three new mystery samples (bronze coin, carbonated water, granite rock) and must classify them using the framework. They write a justification sentence for each using the Because/But/So structure.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Given a description of a substance (e.g., 'a clear liquid that boils at 100 degrees C and is composed of hydrogen and oxygen atoms chemically bonded'), students identify it as element, compound, homogeneous mixture, or heterogeneous mixture and provide one piece of supporting evidence.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pre-filled graphic organizer with key terms and definitions already placed; pair with a peer mentor during the Explore phase for guided observation.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classification activity as designed with the graphic organizer scaffold.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Challenge students to propose a method to separate each mixture and explain the physical principle behind each separation technique (filtration, distillation, chromatography).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vocabulary list (Spanish/English) with diagrams; use visual cues on the classification chart; allow verbal responses during the Evaluate phase.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Extended time on exit ticket; preferential seating near the anchor chart; provide a word bank for all written responses.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indigenous peoples across the Americas classified natural materials (plants, minerals, animal products) for medicine, construction, and art long before modern chemistry formalized these categories. Highlight Mayan use of indigo dye extraction as an early separation technique.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'Compound': Start with 'Compound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