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fill="1F4E79" w:val="clear"/>
        <w:spacing w:before="80" w:after="40"/>
        <w:jc w:val="center"/>
      </w:pPr>
      <w:r>
        <w:rPr>
          <w:rFonts w:ascii="Calibri" w:hAnsi="Calibri"/>
          <w:b/>
          <w:i w:val="0"/>
          <w:color w:val="FFFFFF"/>
          <w:sz w:val="28"/>
          <w:u w:val="none"/>
        </w:rPr>
        <w:t>Chemistry</w:t>
        <w:br/>
      </w:r>
      <w:r>
        <w:rPr>
          <w:rFonts w:ascii="Calibri" w:hAnsi="Calibri"/>
          <w:b/>
          <w:i w:val="0"/>
          <w:color w:val="FFFFFF"/>
          <w:sz w:val="24"/>
          <w:u w:val="none"/>
        </w:rPr>
        <w:t>Unit 2: Atomic Structure &amp; the Periodic Table</w:t>
        <w:br/>
        <w:t>Lesson 15: Periodic Table Organization and Periodic Trends (Day 1 of 3)</w:t>
        <w:br/>
      </w:r>
      <w:r>
        <w:rPr>
          <w:rFonts w:ascii="Calibri" w:hAnsi="Calibri"/>
          <w:b w:val="0"/>
          <w:i/>
          <w:color w:val="D6E4F0"/>
          <w:sz w:val="22"/>
          <w:u w:val="none"/>
        </w:rPr>
        <w:t>PE: HS-PS1-1</w:t>
      </w:r>
    </w:p>
    <w:p>
      <w:pPr>
        <w:spacing w:before="160" w:after="80"/>
        <w:jc w:val="left"/>
      </w:pPr>
      <w:r>
        <w:rPr>
          <w:rFonts w:ascii="Calibri" w:hAnsi="Calibri"/>
          <w:b/>
          <w:i w:val="0"/>
          <w:color w:val="1F4E79"/>
          <w:sz w:val="24"/>
          <w:u w:val="none"/>
        </w:rPr>
        <w:t>Suggested Opening Circle (2-3 min)</w:t>
      </w:r>
    </w:p>
    <w:p>
      <w:pPr>
        <w:spacing w:before="80" w:after="80"/>
        <w:shd w:fill="D6E4F0" w:val="clear"/>
      </w:pPr>
      <w:r>
        <w:rPr>
          <w:rFonts w:ascii="Calibri" w:hAnsi="Calibri"/>
          <w:b/>
          <w:i w:val="0"/>
          <w:color w:val="1F4E79"/>
          <w:sz w:val="22"/>
          <w:u w:val="none"/>
        </w:rPr>
        <w:t xml:space="preserve">Suggested Community Prompt: </w:t>
      </w:r>
      <w:r>
        <w:rPr>
          <w:rFonts w:ascii="Calibri" w:hAnsi="Calibri"/>
          <w:b w:val="0"/>
          <w:i w:val="0"/>
          <w:color w:val="000000"/>
          <w:sz w:val="22"/>
          <w:u w:val="none"/>
        </w:rPr>
        <w:t>Think about how your family organizes something at home — spices, tools, clothes. What is the organizing principle? Could it be organized differently?</w:t>
      </w:r>
    </w:p>
    <w:p>
      <w:pPr>
        <w:spacing w:before="160" w:after="80"/>
        <w:jc w:val="left"/>
      </w:pPr>
      <w:r>
        <w:rPr>
          <w:rFonts w:ascii="Calibri" w:hAnsi="Calibri"/>
          <w:b/>
          <w:i w:val="0"/>
          <w:color w:val="1F4E79"/>
          <w:sz w:val="24"/>
          <w:u w:val="none"/>
        </w:rPr>
        <w:t>Do Now (3-5 min)</w:t>
      </w:r>
    </w:p>
    <w:p>
      <w:pPr>
        <w:spacing w:before="80" w:after="80"/>
        <w:shd w:fill="E2EFDA" w:val="clear"/>
      </w:pPr>
      <w:r>
        <w:rPr>
          <w:rFonts w:ascii="Calibri" w:hAnsi="Calibri"/>
          <w:b/>
          <w:i w:val="0"/>
          <w:color w:val="1F4E79"/>
          <w:sz w:val="22"/>
          <w:u w:val="none"/>
        </w:rPr>
        <w:t xml:space="preserve">Activity: </w:t>
      </w:r>
      <w:r>
        <w:rPr>
          <w:rFonts w:ascii="Calibri" w:hAnsi="Calibri"/>
          <w:b w:val="0"/>
          <w:i w:val="0"/>
          <w:color w:val="000000"/>
          <w:sz w:val="22"/>
          <w:u w:val="none"/>
        </w:rPr>
        <w:t>Look at the first 20 elements on the periodic table. List three patterns you notice in how they are arranged. Consider: What increases left to right? What changes as you go down a group?</w:t>
      </w:r>
    </w:p>
    <w:p>
      <w:pPr>
        <w:spacing w:before="40" w:after="40"/>
        <w:pBdr>
          <w:bottom w:val="single" w:sz="4" w:space="1" w:color="1F4E79"/>
        </w:pBdr>
      </w:pPr>
    </w:p>
    <w:p>
      <w:pPr>
        <w:spacing w:before="120" w:after="120"/>
        <w:jc w:val="left"/>
      </w:pPr>
      <w:r>
        <w:rPr>
          <w:rFonts w:ascii="Calibri" w:hAnsi="Calibri"/>
          <w:b/>
          <w:i w:val="0"/>
          <w:color w:val="1F4E79"/>
          <w:sz w:val="24"/>
          <w:u w:val="none"/>
        </w:rPr>
        <w:t xml:space="preserve">Learning Target: </w:t>
      </w:r>
      <w:r>
        <w:rPr>
          <w:rFonts w:ascii="Calibri" w:hAnsi="Calibri"/>
          <w:b/>
          <w:i w:val="0"/>
          <w:color w:val="000000"/>
          <w:sz w:val="24"/>
          <w:u w:val="none"/>
        </w:rPr>
        <w:t>At the end of 42 minutes I can define and describe key concepts related to: explain how elements are organized on the periodic table and predict trends in atomic radius, ionization energy, and electronegativity across periods and down groups</w:t>
      </w:r>
    </w:p>
    <w:p>
      <w:pPr>
        <w:spacing w:before="40" w:after="40"/>
        <w:pBdr>
          <w:bottom w:val="single" w:sz="4" w:space="1" w:color="1F4E79"/>
        </w:pBdr>
      </w:pPr>
    </w:p>
    <w:p>
      <w:pPr>
        <w:spacing w:before="160" w:after="80"/>
        <w:jc w:val="left"/>
      </w:pPr>
      <w:r>
        <w:rPr>
          <w:rFonts w:ascii="Calibri" w:hAnsi="Calibri"/>
          <w:b/>
          <w:i w:val="0"/>
          <w:color w:val="1F4E79"/>
          <w:sz w:val="24"/>
          <w:u w:val="none"/>
        </w:rPr>
        <w:t>Standards Alignment</w:t>
      </w:r>
    </w:p>
    <w:tbl>
      <w:tblPr>
        <w:tblStyle w:val="TableGrid"/>
        <w:tblW w:type="auto" w:w="0"/>
        <w:jc w:val="center"/>
        <w:tblLook w:firstColumn="1" w:firstRow="1" w:lastColumn="0" w:lastRow="0" w:noHBand="0" w:noVBand="1" w:val="04A0"/>
      </w:tblPr>
      <w:tblGrid>
        <w:gridCol w:w="2520"/>
        <w:gridCol w:w="2520"/>
        <w:gridCol w:w="2520"/>
        <w:gridCol w:w="2520"/>
      </w:tblGrid>
      <w:tr>
        <w:tc>
          <w:tcPr>
            <w:tcW w:type="dxa" w:w="1728"/>
            <w:shd w:fill="1F4E79" w:val="clear"/>
          </w:tcPr>
          <w:p>
            <w:pPr>
              <w:jc w:val="center"/>
            </w:pPr>
            <w:r/>
            <w:r>
              <w:rPr>
                <w:rFonts w:ascii="Calibri" w:hAnsi="Calibri"/>
                <w:b/>
                <w:i w:val="0"/>
                <w:color w:val="FFFFFF"/>
                <w:sz w:val="22"/>
                <w:u w:val="none"/>
              </w:rPr>
              <w:t>PE</w:t>
            </w:r>
          </w:p>
        </w:tc>
        <w:tc>
          <w:tcPr>
            <w:tcW w:type="dxa" w:w="2880"/>
            <w:shd w:fill="1F4E79" w:val="clear"/>
          </w:tcPr>
          <w:p>
            <w:pPr>
              <w:jc w:val="center"/>
            </w:pPr>
            <w:r/>
            <w:r>
              <w:rPr>
                <w:rFonts w:ascii="Calibri" w:hAnsi="Calibri"/>
                <w:b/>
                <w:i w:val="0"/>
                <w:color w:val="FFFFFF"/>
                <w:sz w:val="22"/>
                <w:u w:val="none"/>
              </w:rPr>
              <w:t>SEP</w:t>
            </w:r>
          </w:p>
        </w:tc>
        <w:tc>
          <w:tcPr>
            <w:tcW w:type="dxa" w:w="2160"/>
            <w:shd w:fill="1F4E79" w:val="clear"/>
          </w:tcPr>
          <w:p>
            <w:pPr>
              <w:jc w:val="center"/>
            </w:pPr>
            <w:r/>
            <w:r>
              <w:rPr>
                <w:rFonts w:ascii="Calibri" w:hAnsi="Calibri"/>
                <w:b/>
                <w:i w:val="0"/>
                <w:color w:val="FFFFFF"/>
                <w:sz w:val="22"/>
                <w:u w:val="none"/>
              </w:rPr>
              <w:t>CCC</w:t>
            </w:r>
          </w:p>
        </w:tc>
        <w:tc>
          <w:tcPr>
            <w:tcW w:type="dxa" w:w="3600"/>
            <w:shd w:fill="1F4E79" w:val="clear"/>
          </w:tcPr>
          <w:p>
            <w:pPr>
              <w:jc w:val="center"/>
            </w:pPr>
            <w:r/>
            <w:r>
              <w:rPr>
                <w:rFonts w:ascii="Calibri" w:hAnsi="Calibri"/>
                <w:b/>
                <w:i w:val="0"/>
                <w:color w:val="FFFFFF"/>
                <w:sz w:val="22"/>
                <w:u w:val="none"/>
              </w:rPr>
              <w:t>DCI</w:t>
            </w:r>
          </w:p>
        </w:tc>
      </w:tr>
      <w:tr>
        <w:tc>
          <w:tcPr>
            <w:tcW w:type="dxa" w:w="1728"/>
          </w:tcPr>
          <w:p>
            <w:r/>
            <w:r>
              <w:rPr>
                <w:rFonts w:ascii="Calibri" w:hAnsi="Calibri"/>
                <w:b w:val="0"/>
                <w:i w:val="0"/>
                <w:color w:val="000000"/>
                <w:sz w:val="22"/>
                <w:u w:val="none"/>
              </w:rPr>
              <w:t>HS-PS1-1</w:t>
            </w:r>
          </w:p>
        </w:tc>
        <w:tc>
          <w:tcPr>
            <w:tcW w:type="dxa" w:w="2880"/>
          </w:tcPr>
          <w:p>
            <w:r/>
            <w:r>
              <w:rPr>
                <w:rFonts w:ascii="Calibri" w:hAnsi="Calibri"/>
                <w:b w:val="0"/>
                <w:i w:val="0"/>
                <w:color w:val="000000"/>
                <w:sz w:val="22"/>
                <w:u w:val="none"/>
              </w:rPr>
              <w:t>Analyzing and Interpreting Data</w:t>
            </w:r>
          </w:p>
        </w:tc>
        <w:tc>
          <w:tcPr>
            <w:tcW w:type="dxa" w:w="2160"/>
          </w:tcPr>
          <w:p>
            <w:r/>
            <w:r>
              <w:rPr>
                <w:rFonts w:ascii="Calibri" w:hAnsi="Calibri"/>
                <w:b w:val="0"/>
                <w:i w:val="0"/>
                <w:color w:val="000000"/>
                <w:sz w:val="22"/>
                <w:u w:val="none"/>
              </w:rPr>
              <w:t>Patterns</w:t>
            </w:r>
          </w:p>
        </w:tc>
        <w:tc>
          <w:tcPr>
            <w:tcW w:type="dxa" w:w="3600"/>
          </w:tcPr>
          <w:p>
            <w:r/>
            <w:r>
              <w:rPr>
                <w:rFonts w:ascii="Calibri" w:hAnsi="Calibri"/>
                <w:b w:val="0"/>
                <w:i w:val="0"/>
                <w:color w:val="000000"/>
                <w:sz w:val="22"/>
                <w:u w:val="none"/>
              </w:rPr>
              <w:t>PS1.A: Structure and Properties of Matter</w:t>
            </w:r>
          </w:p>
        </w:tc>
      </w:tr>
    </w:tbl>
    <w:p/>
    <w:p>
      <w:pPr>
        <w:spacing w:before="160" w:after="80"/>
        <w:jc w:val="left"/>
      </w:pPr>
      <w:r>
        <w:rPr>
          <w:rFonts w:ascii="Calibri" w:hAnsi="Calibri"/>
          <w:b/>
          <w:i w:val="0"/>
          <w:color w:val="1F4E79"/>
          <w:sz w:val="24"/>
          <w:u w:val="none"/>
        </w:rPr>
        <w:t>Materials &amp; Preparation</w:t>
      </w:r>
    </w:p>
    <w:p>
      <w:pPr>
        <w:pStyle w:val="ListBullet"/>
        <w:spacing w:before="20" w:after="20"/>
      </w:pPr>
      <w:r>
        <w:rPr>
          <w:rFonts w:ascii="Calibri" w:hAnsi="Calibri"/>
          <w:b w:val="0"/>
          <w:i w:val="0"/>
          <w:color w:val="000000"/>
          <w:sz w:val="22"/>
          <w:u w:val="none"/>
        </w:rPr>
        <w:t>Periodic table (large wall poster and individual copies)</w:t>
      </w:r>
    </w:p>
    <w:p>
      <w:pPr>
        <w:pStyle w:val="ListBullet"/>
        <w:spacing w:before="20" w:after="20"/>
      </w:pPr>
      <w:r>
        <w:rPr>
          <w:rFonts w:ascii="Calibri" w:hAnsi="Calibri"/>
          <w:b w:val="0"/>
          <w:i w:val="0"/>
          <w:color w:val="000000"/>
          <w:sz w:val="22"/>
          <w:u w:val="none"/>
        </w:rPr>
        <w:t>Periodic trends data set (atomic radius, ionization energy, electronegativity for first 36 elements)</w:t>
      </w:r>
    </w:p>
    <w:p>
      <w:pPr>
        <w:pStyle w:val="ListBullet"/>
        <w:spacing w:before="20" w:after="20"/>
      </w:pPr>
      <w:r>
        <w:rPr>
          <w:rFonts w:ascii="Calibri" w:hAnsi="Calibri"/>
          <w:b w:val="0"/>
          <w:i w:val="0"/>
          <w:color w:val="000000"/>
          <w:sz w:val="22"/>
          <w:u w:val="none"/>
        </w:rPr>
        <w:t>Graph paper or graphing template (printed)</w:t>
      </w:r>
    </w:p>
    <w:p>
      <w:pPr>
        <w:pStyle w:val="ListBullet"/>
        <w:spacing w:before="20" w:after="20"/>
      </w:pPr>
      <w:r>
        <w:rPr>
          <w:rFonts w:ascii="Calibri" w:hAnsi="Calibri"/>
          <w:b w:val="0"/>
          <w:i w:val="0"/>
          <w:color w:val="000000"/>
          <w:sz w:val="22"/>
          <w:u w:val="none"/>
        </w:rPr>
        <w:t>Colored pencils for graphing (3 colors)</w:t>
      </w:r>
    </w:p>
    <w:p>
      <w:pPr>
        <w:pStyle w:val="ListBullet"/>
        <w:spacing w:before="20" w:after="20"/>
      </w:pPr>
      <w:r>
        <w:rPr>
          <w:rFonts w:ascii="Calibri" w:hAnsi="Calibri"/>
          <w:b w:val="0"/>
          <w:i w:val="0"/>
          <w:color w:val="000000"/>
          <w:sz w:val="22"/>
          <w:u w:val="none"/>
        </w:rPr>
        <w:t>Periodic trends summary foldable template</w:t>
      </w:r>
    </w:p>
    <w:p>
      <w:pPr>
        <w:spacing w:before="160" w:after="80"/>
        <w:jc w:val="left"/>
      </w:pPr>
      <w:r>
        <w:rPr>
          <w:rFonts w:ascii="Calibri" w:hAnsi="Calibri"/>
          <w:b/>
          <w:i w:val="0"/>
          <w:color w:val="1F4E79"/>
          <w:sz w:val="24"/>
          <w:u w:val="none"/>
        </w:rPr>
        <w:t>5E Instructional Sequence</w:t>
      </w:r>
    </w:p>
    <w:p>
      <w:pPr>
        <w:spacing w:before="80" w:after="40"/>
      </w:pPr>
      <w:r>
        <w:rPr>
          <w:rFonts w:ascii="Calibri" w:hAnsi="Calibri"/>
          <w:b/>
          <w:i w:val="0"/>
          <w:color w:val="1F4E79"/>
          <w:sz w:val="22"/>
          <w:u w:val="none"/>
        </w:rPr>
        <w:t xml:space="preserve">Engage (5 min): </w:t>
      </w:r>
      <w:r>
        <w:rPr>
          <w:rFonts w:ascii="Calibri" w:hAnsi="Calibri"/>
          <w:b w:val="0"/>
          <w:i w:val="0"/>
          <w:color w:val="000000"/>
          <w:sz w:val="22"/>
          <w:u w:val="none"/>
        </w:rPr>
        <w:t>Anchoring phenomenon presentation. Students record initial observations and questions. Topic focus: Periodic Table Organization and Periodic Trends. Show students Mendeleev's original periodic table (1869) and the modern periodic table side by side. Mendeleev organized by atomic mass and left gaps for undiscovered elements. He predicted the properties of 'eka-silicon' (germanium) with remarkable accuracy. Ask: How did organizing elements reveal patterns that allowed predictions?</w:t>
      </w:r>
    </w:p>
    <w:p>
      <w:pPr>
        <w:spacing w:before="80" w:after="40"/>
      </w:pPr>
      <w:r>
        <w:rPr>
          <w:rFonts w:ascii="Calibri" w:hAnsi="Calibri"/>
          <w:b/>
          <w:i w:val="0"/>
          <w:color w:val="1F4E79"/>
          <w:sz w:val="22"/>
          <w:u w:val="none"/>
        </w:rPr>
        <w:t xml:space="preserve">Explore (12 min): </w:t>
      </w:r>
      <w:r>
        <w:rPr>
          <w:rFonts w:ascii="Calibri" w:hAnsi="Calibri"/>
          <w:b w:val="0"/>
          <w:i w:val="0"/>
          <w:color w:val="000000"/>
          <w:sz w:val="22"/>
          <w:u w:val="none"/>
        </w:rPr>
        <w:t>Guided discovery activity — students investigate the concept through hands-on work. Topic focus: Periodic Table Organization and Periodic Trends. Data analysis and graphing: Students plot two graphs using provided data. Graph 1: Atomic radius (in pm) vs. atomic number for elements 1-36 (line graph). Graph 2: First ionization energy (in kJ/mol) vs. atomic number for elements 1-36. Students color-code each period on their graphs. In pairs, they answer: What happens to atomic radius across a period? Down a group? What happens to ionization energy across a period? Down a group?</w:t>
      </w:r>
    </w:p>
    <w:p>
      <w:pPr>
        <w:spacing w:before="80" w:after="40"/>
      </w:pPr>
      <w:r>
        <w:rPr>
          <w:rFonts w:ascii="Calibri" w:hAnsi="Calibri"/>
          <w:b/>
          <w:i w:val="0"/>
          <w:color w:val="1F4E79"/>
          <w:sz w:val="22"/>
          <w:u w:val="none"/>
        </w:rPr>
        <w:t xml:space="preserve">Explain (8 min): </w:t>
      </w:r>
      <w:r>
        <w:rPr>
          <w:rFonts w:ascii="Calibri" w:hAnsi="Calibri"/>
          <w:b w:val="0"/>
          <w:i w:val="0"/>
          <w:color w:val="000000"/>
          <w:sz w:val="22"/>
          <w:u w:val="none"/>
        </w:rPr>
        <w:t>Direct instruction introducing core vocabulary, principles, and relationships. Topic focus: Periodic Table Organization and Periodic Trends. Teacher explains the trends using electron structure. Atomic radius decreases across a period because increasing nuclear charge pulls electrons closer (same energy level, more protons). Atomic radius increases down a group because new energy levels are added. Ionization energy increases across a period (harder to remove an electron from a smaller atom with more nuclear charge) and decreases down a group (outermost electron is farther from the nucleus). Introduce electronegativity as the atom's ability to attract bonding electrons — follows the same trend as ionization energy.</w:t>
      </w:r>
    </w:p>
    <w:p>
      <w:pPr>
        <w:spacing w:before="80" w:after="40"/>
      </w:pPr>
      <w:r>
        <w:rPr>
          <w:rFonts w:ascii="Calibri" w:hAnsi="Calibri"/>
          <w:b/>
          <w:i w:val="0"/>
          <w:color w:val="1F4E79"/>
          <w:sz w:val="22"/>
          <w:u w:val="none"/>
        </w:rPr>
        <w:t xml:space="preserve">Elaborate (7 min): </w:t>
      </w:r>
      <w:r>
        <w:rPr>
          <w:rFonts w:ascii="Calibri" w:hAnsi="Calibri"/>
          <w:b w:val="0"/>
          <w:i w:val="0"/>
          <w:color w:val="000000"/>
          <w:sz w:val="22"/>
          <w:u w:val="none"/>
        </w:rPr>
        <w:t>Hochman writing activity using new vocabulary in Because/But/So sentences. Topic focus: Periodic Table Organization and Periodic Trends. Students create a periodic trends foldable: three flaps labeled Atomic Radius, Ionization Energy, and Electronegativity. Under each flap, they draw arrows showing the trend direction across periods and down groups, write a one-sentence explanation, and give a specific example comparison (e.g., 'Na has a larger atomic radius than Cl because...').</w:t>
      </w:r>
    </w:p>
    <w:p>
      <w:pPr>
        <w:spacing w:before="80" w:after="40"/>
      </w:pPr>
      <w:r>
        <w:rPr>
          <w:rFonts w:ascii="Calibri" w:hAnsi="Calibri"/>
          <w:b/>
          <w:i w:val="0"/>
          <w:color w:val="1F4E79"/>
          <w:sz w:val="22"/>
          <w:u w:val="none"/>
        </w:rPr>
        <w:t xml:space="preserve">Evaluate (3 min): </w:t>
      </w:r>
      <w:r>
        <w:rPr>
          <w:rFonts w:ascii="Calibri" w:hAnsi="Calibri"/>
          <w:b w:val="0"/>
          <w:i w:val="0"/>
          <w:color w:val="000000"/>
          <w:sz w:val="22"/>
          <w:u w:val="none"/>
        </w:rPr>
        <w:t>Exit ticket — match terms to definitions, identify key relationships. Topic focus: Periodic Table Organization and Periodic Trends. Exit ticket: (1) Rank these elements by atomic radius from smallest to largest: Na, Mg, Al, K. Explain your reasoning. (2) Which has a higher ionization energy, oxygen or sulfur? Why? (3) Why does electronegativity generally increase from left to right across a period?</w:t>
      </w:r>
    </w:p>
    <w:p/>
    <w:p>
      <w:pPr>
        <w:spacing w:before="160" w:after="80"/>
        <w:jc w:val="left"/>
      </w:pPr>
      <w:r>
        <w:rPr>
          <w:rFonts w:ascii="Calibri" w:hAnsi="Calibri"/>
          <w:b/>
          <w:i w:val="0"/>
          <w:color w:val="1F4E79"/>
          <w:sz w:val="24"/>
          <w:u w:val="none"/>
        </w:rPr>
        <w:t>Differentiation</w:t>
      </w:r>
    </w:p>
    <w:tbl>
      <w:tblPr>
        <w:tblStyle w:val="TableGrid"/>
        <w:tblW w:type="auto" w:w="0"/>
        <w:jc w:val="center"/>
        <w:tblLook w:firstColumn="1" w:firstRow="1" w:lastColumn="0" w:lastRow="0" w:noHBand="0" w:noVBand="1" w:val="04A0"/>
      </w:tblPr>
      <w:tblGrid>
        <w:gridCol w:w="5040"/>
        <w:gridCol w:w="5040"/>
      </w:tblGrid>
      <w:tr>
        <w:tc>
          <w:tcPr>
            <w:tcW w:type="dxa" w:w="2160"/>
            <w:shd w:fill="1F4E79" w:val="clear"/>
          </w:tcPr>
          <w:p>
            <w:pPr>
              <w:jc w:val="center"/>
            </w:pPr>
            <w:r/>
            <w:r>
              <w:rPr>
                <w:rFonts w:ascii="Calibri" w:hAnsi="Calibri"/>
                <w:b/>
                <w:i w:val="0"/>
                <w:color w:val="FFFFFF"/>
                <w:sz w:val="22"/>
                <w:u w:val="none"/>
              </w:rPr>
              <w:t>Level</w:t>
            </w:r>
          </w:p>
        </w:tc>
        <w:tc>
          <w:tcPr>
            <w:tcW w:type="dxa" w:w="7920"/>
            <w:shd w:fill="1F4E79" w:val="clear"/>
          </w:tcPr>
          <w:p>
            <w:pPr>
              <w:jc w:val="center"/>
            </w:pPr>
            <w:r/>
            <w:r>
              <w:rPr>
                <w:rFonts w:ascii="Calibri" w:hAnsi="Calibri"/>
                <w:b/>
                <w:i w:val="0"/>
                <w:color w:val="FFFFFF"/>
                <w:sz w:val="22"/>
                <w:u w:val="none"/>
              </w:rPr>
              <w:t>Accommodations / Modifications</w:t>
            </w:r>
          </w:p>
        </w:tc>
      </w:tr>
      <w:tr>
        <w:tc>
          <w:tcPr>
            <w:tcW w:type="dxa" w:w="2160"/>
          </w:tcPr>
          <w:p>
            <w:r/>
            <w:r>
              <w:rPr>
                <w:rFonts w:ascii="Calibri" w:hAnsi="Calibri"/>
                <w:b w:val="0"/>
                <w:i w:val="0"/>
                <w:color w:val="000000"/>
                <w:sz w:val="22"/>
                <w:u w:val="none"/>
              </w:rPr>
              <w:t>Approaching</w:t>
            </w:r>
          </w:p>
        </w:tc>
        <w:tc>
          <w:tcPr>
            <w:tcW w:type="dxa" w:w="7920"/>
          </w:tcPr>
          <w:p>
            <w:r/>
            <w:r>
              <w:rPr>
                <w:rFonts w:ascii="Calibri" w:hAnsi="Calibri"/>
                <w:b w:val="0"/>
                <w:i w:val="0"/>
                <w:color w:val="000000"/>
                <w:sz w:val="22"/>
                <w:u w:val="none"/>
              </w:rPr>
              <w:t>Provide pre-scaled graph axes with data points partially plotted; include a trends summary card with arrows and one-sentence explanations for reference during the foldable activity.</w:t>
            </w:r>
          </w:p>
        </w:tc>
      </w:tr>
      <w:tr>
        <w:tc>
          <w:tcPr>
            <w:tcW w:type="dxa" w:w="2160"/>
            <w:shd w:fill="F2F2F2" w:val="clear"/>
          </w:tcPr>
          <w:p>
            <w:r/>
            <w:r>
              <w:rPr>
                <w:rFonts w:ascii="Calibri" w:hAnsi="Calibri"/>
                <w:b w:val="0"/>
                <w:i w:val="0"/>
                <w:color w:val="000000"/>
                <w:sz w:val="22"/>
                <w:u w:val="none"/>
              </w:rPr>
              <w:t>On-Level</w:t>
            </w:r>
          </w:p>
        </w:tc>
        <w:tc>
          <w:tcPr>
            <w:tcW w:type="dxa" w:w="7920"/>
            <w:shd w:fill="F2F2F2" w:val="clear"/>
          </w:tcPr>
          <w:p>
            <w:r/>
            <w:r>
              <w:rPr>
                <w:rFonts w:ascii="Calibri" w:hAnsi="Calibri"/>
                <w:b w:val="0"/>
                <w:i w:val="0"/>
                <w:color w:val="000000"/>
                <w:sz w:val="22"/>
                <w:u w:val="none"/>
              </w:rPr>
              <w:t>Complete the graphing, analysis, and foldable as designed.</w:t>
            </w:r>
          </w:p>
        </w:tc>
      </w:tr>
      <w:tr>
        <w:tc>
          <w:tcPr>
            <w:tcW w:type="dxa" w:w="2160"/>
          </w:tcPr>
          <w:p>
            <w:r/>
            <w:r>
              <w:rPr>
                <w:rFonts w:ascii="Calibri" w:hAnsi="Calibri"/>
                <w:b w:val="0"/>
                <w:i w:val="0"/>
                <w:color w:val="000000"/>
                <w:sz w:val="22"/>
                <w:u w:val="none"/>
              </w:rPr>
              <w:t>Advanced</w:t>
            </w:r>
          </w:p>
        </w:tc>
        <w:tc>
          <w:tcPr>
            <w:tcW w:type="dxa" w:w="7920"/>
          </w:tcPr>
          <w:p>
            <w:r/>
            <w:r>
              <w:rPr>
                <w:rFonts w:ascii="Calibri" w:hAnsi="Calibri"/>
                <w:b w:val="0"/>
                <w:i w:val="0"/>
                <w:color w:val="000000"/>
                <w:sz w:val="22"/>
                <w:u w:val="none"/>
              </w:rPr>
              <w:t>Identify and explain exceptions to the general trends (e.g., why does ionization energy dip from Be to B, or from N to O?) using sublevel electron configuration.</w:t>
            </w:r>
          </w:p>
        </w:tc>
      </w:tr>
      <w:tr>
        <w:tc>
          <w:tcPr>
            <w:tcW w:type="dxa" w:w="2160"/>
            <w:shd w:fill="F2F2F2" w:val="clear"/>
          </w:tcPr>
          <w:p>
            <w:r/>
            <w:r>
              <w:rPr>
                <w:rFonts w:ascii="Calibri" w:hAnsi="Calibri"/>
                <w:b w:val="0"/>
                <w:i w:val="0"/>
                <w:color w:val="000000"/>
                <w:sz w:val="22"/>
                <w:u w:val="none"/>
              </w:rPr>
              <w:t>ELL</w:t>
            </w:r>
          </w:p>
        </w:tc>
        <w:tc>
          <w:tcPr>
            <w:tcW w:type="dxa" w:w="7920"/>
            <w:shd w:fill="F2F2F2" w:val="clear"/>
          </w:tcPr>
          <w:p>
            <w:r/>
            <w:r>
              <w:rPr>
                <w:rFonts w:ascii="Calibri" w:hAnsi="Calibri"/>
                <w:b w:val="0"/>
                <w:i w:val="0"/>
                <w:color w:val="000000"/>
                <w:sz w:val="22"/>
                <w:u w:val="none"/>
              </w:rPr>
              <w:t>Provide graphing instructions with numbered visual steps; use a bilingual trends summary with diagrams showing 'bigger/smaller' arrows; sentence frames for the foldable explanations.</w:t>
            </w:r>
          </w:p>
        </w:tc>
      </w:tr>
      <w:tr>
        <w:tc>
          <w:tcPr>
            <w:tcW w:type="dxa" w:w="2160"/>
          </w:tcPr>
          <w:p>
            <w:r/>
            <w:r>
              <w:rPr>
                <w:rFonts w:ascii="Calibri" w:hAnsi="Calibri"/>
                <w:b w:val="0"/>
                <w:i w:val="0"/>
                <w:color w:val="000000"/>
                <w:sz w:val="22"/>
                <w:u w:val="none"/>
              </w:rPr>
              <w:t>IEP</w:t>
            </w:r>
          </w:p>
        </w:tc>
        <w:tc>
          <w:tcPr>
            <w:tcW w:type="dxa" w:w="7920"/>
          </w:tcPr>
          <w:p>
            <w:r/>
            <w:r>
              <w:rPr>
                <w:rFonts w:ascii="Calibri" w:hAnsi="Calibri"/>
                <w:b w:val="0"/>
                <w:i w:val="0"/>
                <w:color w:val="000000"/>
                <w:sz w:val="22"/>
                <w:u w:val="none"/>
              </w:rPr>
              <w:t>Provide pre-made graphs that students analyze (rather than creating from scratch); reduce foldable to two trends instead of three; allow extended time for exit ticket.</w:t>
            </w:r>
          </w:p>
        </w:tc>
      </w:tr>
    </w:tbl>
    <w:p/>
    <w:p>
      <w:pPr>
        <w:spacing w:before="160" w:after="80"/>
        <w:jc w:val="left"/>
      </w:pPr>
      <w:r>
        <w:rPr>
          <w:rFonts w:ascii="Calibri" w:hAnsi="Calibri"/>
          <w:b/>
          <w:i w:val="0"/>
          <w:color w:val="1F4E79"/>
          <w:sz w:val="24"/>
          <w:u w:val="none"/>
        </w:rPr>
        <w:t>CRSE Connections</w:t>
      </w:r>
    </w:p>
    <w:p>
      <w:pPr>
        <w:spacing w:before="80" w:after="80"/>
        <w:shd w:fill="E2EFDA" w:val="clear"/>
      </w:pPr>
      <w:r>
        <w:rPr>
          <w:rFonts w:ascii="Calibri" w:hAnsi="Calibri"/>
          <w:b/>
          <w:i w:val="0"/>
          <w:color w:val="1F4E79"/>
          <w:sz w:val="22"/>
          <w:u w:val="none"/>
        </w:rPr>
        <w:t xml:space="preserve">Culturally Responsive-Sustaining Education: </w:t>
      </w:r>
      <w:r>
        <w:rPr>
          <w:rFonts w:ascii="Calibri" w:hAnsi="Calibri"/>
          <w:b w:val="0"/>
          <w:i w:val="0"/>
          <w:color w:val="000000"/>
          <w:sz w:val="22"/>
          <w:u w:val="none"/>
        </w:rPr>
        <w:t>Discuss Dmitri Mendeleev (Russia), Julius Lothar Meyer (Germany), and John Newlands (England) — three scientists who independently recognized periodic patterns around the same time. Highlight how scientific discoveries often emerge simultaneously across cultures when the foundational knowledge is ripe, challenging the 'lone genius' narrative.</w:t>
      </w:r>
    </w:p>
    <w:p>
      <w:pPr>
        <w:spacing w:before="160" w:after="80"/>
        <w:jc w:val="left"/>
      </w:pPr>
      <w:r>
        <w:rPr>
          <w:rFonts w:ascii="Calibri" w:hAnsi="Calibri"/>
          <w:b/>
          <w:i w:val="0"/>
          <w:color w:val="1F4E79"/>
          <w:sz w:val="24"/>
          <w:u w:val="none"/>
        </w:rPr>
        <w:t>Suggested Hochman Writing Activity</w:t>
      </w:r>
    </w:p>
    <w:p>
      <w:pPr>
        <w:spacing w:before="80" w:after="80"/>
        <w:shd w:fill="D6E4F0" w:val="clear"/>
      </w:pPr>
      <w:r>
        <w:rPr>
          <w:rFonts w:ascii="Calibri" w:hAnsi="Calibri"/>
          <w:b/>
          <w:i w:val="0"/>
          <w:color w:val="1F4E79"/>
          <w:sz w:val="22"/>
          <w:u w:val="none"/>
        </w:rPr>
        <w:t xml:space="preserve">Suggested Literacy Activity: </w:t>
      </w:r>
      <w:r>
        <w:rPr>
          <w:rFonts w:ascii="Calibri" w:hAnsi="Calibri"/>
          <w:b w:val="0"/>
          <w:i w:val="0"/>
          <w:color w:val="000000"/>
          <w:sz w:val="22"/>
          <w:u w:val="none"/>
        </w:rPr>
        <w:t>Because/But/So using 'atomic radius': Atomic radius decreases across a period because___. Potassium is in the same group as sodium, but it has a larger atomic radius because___. Fluorine has a very small atomic radius and high electronegativity, so___.</w:t>
      </w:r>
    </w:p>
    <w:sectPr w:rsidR="00FC693F" w:rsidRPr="0006063C" w:rsidSect="00034616">
      <w:footerReference w:type="default" r:id="rId9"/>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Calibri" w:hAnsi="Calibri"/>
        <w:color w:val="1F4E79"/>
        <w:sz w:val="18"/>
      </w:rPr>
      <w:t>Valley Stream Central High School District</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