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2: Atomic Structure &amp; the Periodic Table  |  Lesson 17: Periodic Table Organization and Periodic Trends (Day 3 of 3)</w:t>
      </w:r>
    </w:p>
    <w:p>
      <w:pPr>
        <w:spacing w:before="0" w:after="80"/>
        <w:jc w:val="center"/>
      </w:pPr>
      <w:r>
        <w:rPr>
          <w:rFonts w:ascii="Calibri" w:hAnsi="Calibri"/>
          <w:b/>
          <w:i w:val="0"/>
          <w:color w:val="1F4E79"/>
          <w:sz w:val="24"/>
          <w:u w:val="none"/>
        </w:rPr>
        <w:t>Topic: Periodic Trends</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student examines data showing that lithium (Li) has an atomic radius of 152 pm, while fluorine (F), in the same period, has an atomic radius of only 64 pm. Both elements are in Period 2. The student claims that fluorine is smaller because it has fewer electrons.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the student's explanation is incorrect because fluorine actually has___ electrons than lithium. The real reason fluorine has a smaller atomic radius is___.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Compare the atomic number, electron configuration, and nuclear charge of lithium and fluorine to explain the trend in atomic radius across Period 2.</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As we move from Li to F across Period 2, the number of protons increases from___ to___, but electrons are added to the same energy level. This means the nuclear charge___ while the shielding___, so the electrons are pulled___, resulting in a___ atomic radius.</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