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Student Notes</w:t>
      </w:r>
    </w:p>
    <w:p>
      <w:pPr>
        <w:spacing w:before="0" w:after="80"/>
        <w:jc w:val="center"/>
      </w:pPr>
      <w:r>
        <w:rPr>
          <w:rFonts w:ascii="Calibri" w:hAnsi="Calibri"/>
          <w:b w:val="0"/>
          <w:i/>
          <w:color w:val="1F4E79"/>
          <w:sz w:val="22"/>
          <w:u w:val="none"/>
        </w:rPr>
        <w:t>Unit 2: Atomic Structure &amp; the Periodic Table  |  Lesson 22: Introduction to Nuclear Chemistry: Radioactive Decay (Day 3 of 3)</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20" w:after="120"/>
        <w:shd w:fill="D6E4F0" w:val="clear"/>
      </w:pPr>
      <w:r>
        <w:rPr>
          <w:rFonts w:ascii="Calibri" w:hAnsi="Calibri"/>
          <w:b/>
          <w:i w:val="0"/>
          <w:color w:val="1F4E79"/>
          <w:sz w:val="22"/>
          <w:u w:val="none"/>
        </w:rPr>
        <w:t xml:space="preserve">Learning Target: </w:t>
      </w:r>
      <w:r>
        <w:rPr>
          <w:rFonts w:ascii="Calibri" w:hAnsi="Calibri"/>
          <w:b w:val="0"/>
          <w:i w:val="0"/>
          <w:color w:val="000000"/>
          <w:sz w:val="22"/>
          <w:u w:val="none"/>
        </w:rPr>
        <w:t>At the end of 42 minutes I can evaluate and explain my understanding to describe the three main types of radioactive decay (alpha, beta, gamma) and write balanced nuclear equations showing changes in atomic number and mass number</w:t>
      </w:r>
    </w:p>
    <w:p>
      <w:pPr>
        <w:spacing w:before="160" w:after="80"/>
        <w:jc w:val="left"/>
      </w:pPr>
      <w:r>
        <w:rPr>
          <w:rFonts w:ascii="Calibri" w:hAnsi="Calibri"/>
          <w:b/>
          <w:i w:val="0"/>
          <w:color w:val="1F4E79"/>
          <w:sz w:val="24"/>
          <w:u w:val="none"/>
        </w:rPr>
        <w:t>Key Vocabulary</w:t>
      </w:r>
    </w:p>
    <w:tbl>
      <w:tblPr>
        <w:tblStyle w:val="TableGrid"/>
        <w:tblW w:type="auto" w:w="0"/>
        <w:jc w:val="center"/>
        <w:tblLook w:firstColumn="1" w:firstRow="1" w:lastColumn="0" w:lastRow="0" w:noHBand="0" w:noVBand="1" w:val="04A0"/>
      </w:tblPr>
      <w:tblGrid>
        <w:gridCol w:w="5040"/>
        <w:gridCol w:w="5040"/>
      </w:tblGrid>
      <w:tr>
        <w:tc>
          <w:tcPr>
            <w:tcW w:type="dxa" w:w="2880"/>
            <w:shd w:fill="1F4E79" w:val="clear"/>
          </w:tcPr>
          <w:p>
            <w:pPr>
              <w:jc w:val="center"/>
            </w:pPr>
            <w:r/>
            <w:r>
              <w:rPr>
                <w:rFonts w:ascii="Calibri" w:hAnsi="Calibri"/>
                <w:b/>
                <w:i w:val="0"/>
                <w:color w:val="FFFFFF"/>
                <w:sz w:val="22"/>
                <w:u w:val="none"/>
              </w:rPr>
              <w:t>Term</w:t>
            </w:r>
          </w:p>
        </w:tc>
        <w:tc>
          <w:tcPr>
            <w:tcW w:type="dxa" w:w="7200"/>
            <w:shd w:fill="1F4E79" w:val="clear"/>
          </w:tcPr>
          <w:p>
            <w:pPr>
              <w:jc w:val="center"/>
            </w:pPr>
            <w:r/>
            <w:r>
              <w:rPr>
                <w:rFonts w:ascii="Calibri" w:hAnsi="Calibri"/>
                <w:b/>
                <w:i w:val="0"/>
                <w:color w:val="FFFFFF"/>
                <w:sz w:val="22"/>
                <w:u w:val="none"/>
              </w:rPr>
              <w:t>Definition (fill in the blanks)</w:t>
            </w:r>
          </w:p>
        </w:tc>
      </w:tr>
      <w:tr>
        <w:tc>
          <w:tcPr>
            <w:tcW w:type="dxa" w:w="2880"/>
          </w:tcPr>
          <w:p>
            <w:r/>
            <w:r>
              <w:rPr>
                <w:rFonts w:ascii="Calibri" w:hAnsi="Calibri"/>
                <w:b w:val="0"/>
                <w:i w:val="0"/>
                <w:color w:val="000000"/>
                <w:sz w:val="22"/>
                <w:u w:val="none"/>
              </w:rPr>
              <w:t>Beta Decay</w:t>
            </w:r>
          </w:p>
        </w:tc>
        <w:tc>
          <w:tcPr>
            <w:tcW w:type="dxa" w:w="7200"/>
          </w:tcPr>
          <w:p>
            <w:r/>
            <w:r>
              <w:rPr>
                <w:rFonts w:ascii="Calibri" w:hAnsi="Calibri"/>
                <w:b w:val="0"/>
                <w:i w:val="0"/>
                <w:color w:val="000000"/>
                <w:sz w:val="22"/>
                <w:u w:val="none"/>
              </w:rPr>
              <w:t>A type of ________ decay in ________ a neutron ________ to a ________ and emits ________ high-speed electron, ________ atomic number ________ 1 with ________ change in ________ number</w:t>
            </w:r>
          </w:p>
        </w:tc>
      </w:tr>
      <w:tr>
        <w:tc>
          <w:tcPr>
            <w:tcW w:type="dxa" w:w="2880"/>
            <w:shd w:fill="F2F2F2" w:val="clear"/>
          </w:tcPr>
          <w:p>
            <w:r/>
            <w:r>
              <w:rPr>
                <w:rFonts w:ascii="Calibri" w:hAnsi="Calibri"/>
                <w:b w:val="0"/>
                <w:i w:val="0"/>
                <w:color w:val="000000"/>
                <w:sz w:val="22"/>
                <w:u w:val="none"/>
              </w:rPr>
              <w:t>Nuclear Equation</w:t>
            </w:r>
          </w:p>
        </w:tc>
        <w:tc>
          <w:tcPr>
            <w:tcW w:type="dxa" w:w="7200"/>
            <w:shd w:fill="F2F2F2" w:val="clear"/>
          </w:tcPr>
          <w:p>
            <w:r/>
            <w:r>
              <w:rPr>
                <w:rFonts w:ascii="Calibri" w:hAnsi="Calibri"/>
                <w:b w:val="0"/>
                <w:i w:val="0"/>
                <w:color w:val="000000"/>
                <w:sz w:val="22"/>
                <w:u w:val="none"/>
              </w:rPr>
              <w:t>An equation showing ________ nuclear reaction, ________ the sum ________ mass numbers ________ atomic numbers ________ be balanced ________ both sides</w:t>
            </w:r>
          </w:p>
        </w:tc>
      </w:tr>
    </w:tbl>
    <w:p/>
    <w:p>
      <w:pPr>
        <w:spacing w:before="160" w:after="80"/>
        <w:jc w:val="left"/>
      </w:pPr>
      <w:r>
        <w:rPr>
          <w:rFonts w:ascii="Calibri" w:hAnsi="Calibri"/>
          <w:b/>
          <w:i w:val="0"/>
          <w:color w:val="1F4E79"/>
          <w:sz w:val="24"/>
          <w:u w:val="none"/>
        </w:rPr>
        <w:t>Guided Notes</w:t>
      </w:r>
    </w:p>
    <w:p>
      <w:pPr>
        <w:spacing w:before="120" w:after="80"/>
        <w:jc w:val="left"/>
      </w:pPr>
      <w:r>
        <w:rPr>
          <w:rFonts w:ascii="Calibri" w:hAnsi="Calibri"/>
          <w:b/>
          <w:i w:val="0"/>
          <w:color w:val="000000"/>
          <w:sz w:val="22"/>
          <w:u w:val="none"/>
        </w:rPr>
        <w:t>Section 3: Beta Decay — Neutron to Proton Conversion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Summary</w:t>
      </w:r>
    </w:p>
    <w:p>
      <w:pPr>
        <w:spacing w:before="80"/>
        <w:shd w:fill="E2EFDA" w:val="clear"/>
      </w:pPr>
      <w:r>
        <w:rPr>
          <w:rFonts w:ascii="Calibri" w:hAnsi="Calibri"/>
          <w:b w:val="0"/>
          <w:i/>
          <w:color w:val="000000"/>
          <w:sz w:val="22"/>
          <w:u w:val="none"/>
        </w:rPr>
        <w:t xml:space="preserve">Complete the Because/But/So sentence frame about </w:t>
      </w:r>
      <w:r>
        <w:rPr>
          <w:rFonts w:ascii="Calibri" w:hAnsi="Calibri"/>
          <w:b/>
          <w:i/>
          <w:color w:val="000000"/>
          <w:sz w:val="22"/>
          <w:u w:val="none"/>
        </w:rPr>
        <w:t>Introduction to Nuclear Chemistry: Radioactive Decay (Day 3 of 3):</w:t>
      </w:r>
    </w:p>
    <w:p>
      <w:pPr>
        <w:spacing w:before="80" w:after="40"/>
      </w:pPr>
      <w:r>
        <w:rPr>
          <w:rFonts w:ascii="Calibri" w:hAnsi="Calibri"/>
          <w:b/>
          <w:i w:val="0"/>
          <w:color w:val="000000"/>
          <w:sz w:val="22"/>
          <w:u w:val="none"/>
        </w:rPr>
        <w:t xml:space="preserve">Introduction to Nuclear Chemistry: Radioactive Decay (Day 3 of 3) is important because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Scientists study introduction to nuclear chemistry: radioactive decay (day 3 of 3), but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Understanding introduction to nuclear chemistry: radioactive decay (day 3 of 3) helps us, so </w:t>
      </w:r>
      <w:r>
        <w:rPr>
          <w:rFonts w:ascii="Calibri" w:hAnsi="Calibri"/>
          <w:b w:val="0"/>
          <w:i w:val="0"/>
          <w:color w:val="BBBBBB"/>
          <w:sz w:val="22"/>
          <w:u w:val="none"/>
        </w:rPr>
        <w:t>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