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19: Bonding and Structure Unit Review (Day 1 of 2)</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explain one chemistry concept to someone who has never taken the class, which topic from this unit would you choose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Quick review challenge: Classify each substance as ionic, metallic, molecular, or network covalent based on one clue. (a) Melts at 3500 degrees C, does not conduct. (b) Shiny, malleable, conducts. (c) Melts at 80 degrees C, dissolves in water. (d) Dissolves in water, conducts when dissolved, MP = 1074 degrees C.</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analyze an unknown substance's properties and systematically determine its bond type, molecular geometry, polarity, and intermolecular forces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Engaging in Argument from Evidence</w:t>
              <w:br/>
              <w:t>Constructing Explanations and Designing Solutions</w:t>
            </w:r>
          </w:p>
        </w:tc>
        <w:tc>
          <w:tcPr>
            <w:tcW w:type="dxa" w:w="2160"/>
          </w:tcPr>
          <w:p>
            <w:r/>
            <w:r>
              <w:rPr>
                <w:rFonts w:ascii="Calibri" w:hAnsi="Calibri"/>
                <w:b w:val="0"/>
                <w:i w:val="0"/>
                <w:color w:val="000000"/>
                <w:sz w:val="22"/>
                <w:u w:val="none"/>
              </w:rPr>
              <w:t>Structure and Function</w:t>
              <w:br/>
              <w:t>Cause and Effect</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3 review packet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Substance mystery challenge cards (4 sets for group rotation)</w:t>
      </w:r>
    </w:p>
    <w:p>
      <w:pPr>
        <w:pStyle w:val="ListBullet"/>
        <w:spacing w:before="20" w:after="20"/>
      </w:pPr>
      <w:r>
        <w:rPr>
          <w:rFonts w:ascii="Calibri" w:hAnsi="Calibri"/>
          <w:b w:val="0"/>
          <w:i w:val="0"/>
          <w:color w:val="000000"/>
          <w:sz w:val="22"/>
          <w:u w:val="none"/>
        </w:rPr>
        <w:t>Reference table and periodic table (1 each per student)</w:t>
      </w:r>
    </w:p>
    <w:p>
      <w:pPr>
        <w:pStyle w:val="ListBullet"/>
        <w:spacing w:before="20" w:after="20"/>
      </w:pPr>
      <w:r>
        <w:rPr>
          <w:rFonts w:ascii="Calibri" w:hAnsi="Calibri"/>
          <w:b w:val="0"/>
          <w:i w:val="0"/>
          <w:color w:val="000000"/>
          <w:sz w:val="22"/>
          <w:u w:val="none"/>
        </w:rPr>
        <w:t>Bonding concept map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Bonding and Structure Unit Review. Present the 'Bonding Detective' challenge: A forensic scientist receives four unknown white powders from a crime scene. Using only property tests (melting point, conductivity, solubility, crystal structure), they must determine what each substance is. Today students will use the same logic to review all bonding concepts.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Bonding and Structure Unit Review. Station rotation review (4 stations, 3 min each): Station 1 — Lewis structure and geometry prediction for 3 molecules. Station 2 — Bond type classification (ionic, polar covalent, nonpolar covalent) for 6 atom pairs using electronegativity. Station 3 — IMF identification and boiling point ranking for 4 substances. Station 4 — Property-to-bonding deduction for 3 unknown substances.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Bonding and Structure Unit Review. Class review and discussion of commonly confused concepts: (1) Bond polarity vs. molecular polarity (CO2 has polar bonds but is nonpolar). (2) IMFs vs. intramolecular bonds (boiling breaks IMFs, not covalent bonds). (3) Why ionic compounds have high melting points but molecular compounds do not (lattice of ions vs. weak IMFs between molecules). Address student questions from station work.</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Bonding and Structure Unit Review. Concept map construction: Students create a concept map connecting all major terms from the unit: ionic bond, covalent bond, metallic bond, Lewis structure, VSEPR, molecular geometry, polarity, LDFs, dipole-dipole, hydrogen bonding, melting point, conductivity, solubility. They must use linking phrases to show relationships (e.g., 'determines' 'is caused by' 'leads to').</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Bonding and Structure Unit Review. Regents-style practice cluster: Students answer a 5-question cluster similar to the smartphone chemistry sample cluster, combining bonding, polarity, IMFs, and property predictions around a real-world phenomenon (materials in a water bottle: HDPE plastic, glass, stainless steel, and the water inside).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partially completed concept map with key terms placed and some linking phrases filled in; include a unit summary reference sheet organized by topic for use during stations.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station rotation, concept map, and practice cluster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completing the practice cluster, students write their own 3-question cluster around a new phenomenon (e.g., why does hand sanitizer evaporate so quickly? Why is stainless steel used for surgical tools?) and include an answer key.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concept map terms as pre-cut cards that students arrange and connect with arrows; include bilingual linking phrases; allow verbal explanation of concept map relationships.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stations from 4 to 3 with extended time; provide a completed concept map as a study reference; break the practice cluster into individual questions with reference materials available.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Revisit the unit's anchoring phenomenon through a global lens: Why do different cultures use different materials for cooking vessels? Clay pots (network covalent silicates), cast iron (metallic), copper (metallic), and ceramic (ionic/covalent network) all have different heat conductivity and reactivity with food. Discuss how traditional knowledge about materials aligns with chemistry concepts.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concepts from the entire unit. Start with: 'Structure determines properties.' Students expand: 'At the particulate level, the type of bonding between atoms — whether ionic, covalent, or metallic — and the intermolecular forces between molecules determine the bulk properties of a substance, including its melting point, conductivity, and solubility in water.'</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