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6: Energy in Chemical Reactions</w:t>
        <w:br/>
        <w:t>Lesson 18: Energy Diagrams and Catalysts: Practice and Problem Solving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HS-PS1-4, HS-PS1-5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something in your life that would be really hard to do without a shortcut or helper?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Sketch a potential energy diagram for an exothermic reaction. Label: reactants, products, activation energy, and ΔH.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interpret and draw potential energy diagrams for catalyzed and uncatalyzed reactions and calculate activation energy.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HS-PS1-4</w:t>
              <w:br/>
              <w:t>HS-PS1-5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Developing and Using Models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</w:t>
              <w:br/>
              <w:t>Stability and Change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Potential energy diagram worksheets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Reference table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Show two potential energy diagrams side by side — one with catalyst, one without. Ask: What changed? What stayed the same?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complete a set of 6 practice problems: drawing PE diagrams from descriptions, reading values from given diagrams, comparing catalyzed vs uncatalyzed pathways.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solutions as a class. Emphasize: catalysts lower activation energy but do NOT change ΔH or equilibrium position.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Application: Given reaction data, students draw complete PE diagrams and calculate activation energy for both forward and reverse reactions.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Given a PE diagram, identify Ea forward, Ea reverse, ΔH, and whether a catalyst is present.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partially completed PE diagrams with labeled axes; students add missing labels and values.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Students draw complete diagrams from verbal descriptions and calculate all energy values.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Explain why catalysts speed up both forward and reverse reactions equally using collision theory.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Color-coded diagrams — red for activation energy, blue for ΔH; visual glossary of PE diagram components.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Enlarged diagram templates; step-by-step checklist for drawing PE diagrams; formula reference card.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Catalytic converters in cars — disproportionate impact of air pollution on communities of color near highways. Environmental justice connection to how catalysts reduce harmful emissions.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Appositive sentence: 'A catalyst, ___(definition)___, affects a chemical reaction by ___.'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