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8: Acids, Bases &amp; Salts</w:t>
        <w:br/>
        <w:t>Lesson 13: Acid-Base Indicators Lab: Identifying Unknown Solutions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HS-PS1-11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your favorite food or drink that tastes sour? What about something that tastes bitter?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List three properties of acids and three properties of bases from memory.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use acid-base indicators to classify unknown solutions as acidic, basic, or neutral.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Planning and Carrying Out Investigations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Unknown solutions (labeled A-F)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 paper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Litmus paper (red and blue)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Phenolphthalein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Bromthymol blue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Methyl orange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Well plates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Droppers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Safety goggles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(4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Show red cabbage juice changing colors with different household substances. Ask: How do indicators help us identify acids and bases?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Lab: Students test 6 unknown solutions with 4 different indicators. Record color changes in data table. Classify each as acidic, basic, or neutral.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results as a class. Review indicator color ranges. Connect to pH scale.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rank unknowns from most acidic to most basic based on indicator results.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Given indicator results, classify a solution and estimate its pH range.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color reference chart for each indicator; pre-organized data table with column headers.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Students complete lab independently, classify unknowns, and estimate pH ranges.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Predict the chemical identity of each unknown based on indicator patterns and properties.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Color-coded indicator reference cards with images; simplified lab directions with numbered steps.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Partner work with defined roles; larger well plates for easier handling; pre-printed data table.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Traditional pH indicators in cultures worldwide — turmeric used in South Asian cooking changes color with baking soda; hibiscus tea (Jamaica/agua de jamaica) changes color with acids and bases.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'indicator': Phenolphthalein turns pink in a solution because___. Litmus paper and pH paper both test for acids, but___. The solution turned bromthymol blue yellow, so___.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