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fill="1F4E79" w:val="clear"/>
        <w:spacing w:before="80" w:after="40"/>
        <w:jc w:val="center"/>
      </w:pPr>
      <w:r>
        <w:rPr>
          <w:rFonts w:ascii="Calibri" w:hAnsi="Calibri"/>
          <w:b/>
          <w:i w:val="0"/>
          <w:color w:val="FFFFFF"/>
          <w:sz w:val="28"/>
          <w:u w:val="none"/>
        </w:rPr>
        <w:t>Chemistry</w:t>
        <w:br/>
      </w:r>
      <w:r>
        <w:rPr>
          <w:rFonts w:ascii="Calibri" w:hAnsi="Calibri"/>
          <w:b/>
          <w:i w:val="0"/>
          <w:color w:val="FFFFFF"/>
          <w:sz w:val="24"/>
          <w:u w:val="none"/>
        </w:rPr>
        <w:t>Unit 8: Acids, Bases &amp; Salts</w:t>
        <w:br/>
        <w:t>Lesson 4: pH Scale, Indicators, and pH Calculations (Day 1 of 3)</w:t>
        <w:br/>
      </w:r>
      <w:r>
        <w:rPr>
          <w:rFonts w:ascii="Calibri" w:hAnsi="Calibri"/>
          <w:b w:val="0"/>
          <w:i/>
          <w:color w:val="D6E4F0"/>
          <w:sz w:val="22"/>
          <w:u w:val="none"/>
        </w:rPr>
        <w:t>PE: HS-PS1-11</w:t>
      </w:r>
    </w:p>
    <w:p>
      <w:pPr>
        <w:spacing w:before="160" w:after="80"/>
        <w:jc w:val="left"/>
      </w:pPr>
      <w:r>
        <w:rPr>
          <w:rFonts w:ascii="Calibri" w:hAnsi="Calibri"/>
          <w:b/>
          <w:i w:val="0"/>
          <w:color w:val="1F4E79"/>
          <w:sz w:val="24"/>
          <w:u w:val="none"/>
        </w:rPr>
        <w:t>Suggested Opening Circle (2-3 min)</w:t>
      </w:r>
    </w:p>
    <w:p>
      <w:pPr>
        <w:spacing w:before="80" w:after="80"/>
        <w:shd w:fill="D6E4F0" w:val="clear"/>
      </w:pPr>
      <w:r>
        <w:rPr>
          <w:rFonts w:ascii="Calibri" w:hAnsi="Calibri"/>
          <w:b/>
          <w:i w:val="0"/>
          <w:color w:val="1F4E79"/>
          <w:sz w:val="22"/>
          <w:u w:val="none"/>
        </w:rPr>
        <w:t xml:space="preserve">Suggested Community Prompt: </w:t>
      </w:r>
      <w:r>
        <w:rPr>
          <w:rFonts w:ascii="Calibri" w:hAnsi="Calibri"/>
          <w:b w:val="0"/>
          <w:i w:val="0"/>
          <w:color w:val="000000"/>
          <w:sz w:val="22"/>
          <w:u w:val="none"/>
        </w:rPr>
        <w:t>If you had to rank your five favorite drinks from most sour to least sour, what order would they be in? What do you think is chemically different about the sour ones?</w:t>
      </w:r>
    </w:p>
    <w:p>
      <w:pPr>
        <w:spacing w:before="160" w:after="80"/>
        <w:jc w:val="left"/>
      </w:pPr>
      <w:r>
        <w:rPr>
          <w:rFonts w:ascii="Calibri" w:hAnsi="Calibri"/>
          <w:b/>
          <w:i w:val="0"/>
          <w:color w:val="1F4E79"/>
          <w:sz w:val="24"/>
          <w:u w:val="none"/>
        </w:rPr>
        <w:t>Do Now (3-5 min)</w:t>
      </w:r>
    </w:p>
    <w:p>
      <w:pPr>
        <w:spacing w:before="80" w:after="80"/>
        <w:shd w:fill="E2EFDA" w:val="clear"/>
      </w:pPr>
      <w:r>
        <w:rPr>
          <w:rFonts w:ascii="Calibri" w:hAnsi="Calibri"/>
          <w:b/>
          <w:i w:val="0"/>
          <w:color w:val="1F4E79"/>
          <w:sz w:val="22"/>
          <w:u w:val="none"/>
        </w:rPr>
        <w:t xml:space="preserve">Activity: </w:t>
      </w:r>
      <w:r>
        <w:rPr>
          <w:rFonts w:ascii="Calibri" w:hAnsi="Calibri"/>
          <w:b w:val="0"/>
          <w:i w:val="0"/>
          <w:color w:val="000000"/>
          <w:sz w:val="22"/>
          <w:u w:val="none"/>
        </w:rPr>
        <w:t>Solution A has a pH of 2 and Solution B has a pH of 5. A student says Solution A is 3 times more acidic than Solution B. Is this correct? Explain your reasoning.</w:t>
      </w:r>
    </w:p>
    <w:p>
      <w:pPr>
        <w:spacing w:before="40" w:after="40"/>
        <w:pBdr>
          <w:bottom w:val="single" w:sz="4" w:space="1" w:color="1F4E79"/>
        </w:pBdr>
      </w:pPr>
    </w:p>
    <w:p>
      <w:pPr>
        <w:spacing w:before="120" w:after="120"/>
        <w:jc w:val="left"/>
      </w:pPr>
      <w:r>
        <w:rPr>
          <w:rFonts w:ascii="Calibri" w:hAnsi="Calibri"/>
          <w:b/>
          <w:i w:val="0"/>
          <w:color w:val="1F4E79"/>
          <w:sz w:val="24"/>
          <w:u w:val="none"/>
        </w:rPr>
        <w:t xml:space="preserve">Learning Target: </w:t>
      </w:r>
      <w:r>
        <w:rPr>
          <w:rFonts w:ascii="Calibri" w:hAnsi="Calibri"/>
          <w:b/>
          <w:i w:val="0"/>
          <w:color w:val="000000"/>
          <w:sz w:val="24"/>
          <w:u w:val="none"/>
        </w:rPr>
        <w:t>At the end of 42 minutes I can define and describe key concepts related to: use the pH scale to classify solutions as acidic, basic, or neutral and calculate pH from hydronium ion concentration</w:t>
      </w:r>
    </w:p>
    <w:p>
      <w:pPr>
        <w:spacing w:before="40" w:after="40"/>
        <w:pBdr>
          <w:bottom w:val="single" w:sz="4" w:space="1" w:color="1F4E79"/>
        </w:pBdr>
      </w:pPr>
    </w:p>
    <w:p>
      <w:pPr>
        <w:spacing w:before="160" w:after="80"/>
        <w:jc w:val="left"/>
      </w:pPr>
      <w:r>
        <w:rPr>
          <w:rFonts w:ascii="Calibri" w:hAnsi="Calibri"/>
          <w:b/>
          <w:i w:val="0"/>
          <w:color w:val="1F4E79"/>
          <w:sz w:val="24"/>
          <w:u w:val="none"/>
        </w:rPr>
        <w:t>Standards Alignment</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728"/>
            <w:shd w:fill="1F4E79" w:val="clear"/>
          </w:tcPr>
          <w:p>
            <w:pPr>
              <w:jc w:val="center"/>
            </w:pPr>
            <w:r/>
            <w:r>
              <w:rPr>
                <w:rFonts w:ascii="Calibri" w:hAnsi="Calibri"/>
                <w:b/>
                <w:i w:val="0"/>
                <w:color w:val="FFFFFF"/>
                <w:sz w:val="22"/>
                <w:u w:val="none"/>
              </w:rPr>
              <w:t>PE</w:t>
            </w:r>
          </w:p>
        </w:tc>
        <w:tc>
          <w:tcPr>
            <w:tcW w:type="dxa" w:w="2880"/>
            <w:shd w:fill="1F4E79" w:val="clear"/>
          </w:tcPr>
          <w:p>
            <w:pPr>
              <w:jc w:val="center"/>
            </w:pPr>
            <w:r/>
            <w:r>
              <w:rPr>
                <w:rFonts w:ascii="Calibri" w:hAnsi="Calibri"/>
                <w:b/>
                <w:i w:val="0"/>
                <w:color w:val="FFFFFF"/>
                <w:sz w:val="22"/>
                <w:u w:val="none"/>
              </w:rPr>
              <w:t>SEP</w:t>
            </w:r>
          </w:p>
        </w:tc>
        <w:tc>
          <w:tcPr>
            <w:tcW w:type="dxa" w:w="2160"/>
            <w:shd w:fill="1F4E79" w:val="clear"/>
          </w:tcPr>
          <w:p>
            <w:pPr>
              <w:jc w:val="center"/>
            </w:pPr>
            <w:r/>
            <w:r>
              <w:rPr>
                <w:rFonts w:ascii="Calibri" w:hAnsi="Calibri"/>
                <w:b/>
                <w:i w:val="0"/>
                <w:color w:val="FFFFFF"/>
                <w:sz w:val="22"/>
                <w:u w:val="none"/>
              </w:rPr>
              <w:t>CCC</w:t>
            </w:r>
          </w:p>
        </w:tc>
        <w:tc>
          <w:tcPr>
            <w:tcW w:type="dxa" w:w="3600"/>
            <w:shd w:fill="1F4E79" w:val="clear"/>
          </w:tcPr>
          <w:p>
            <w:pPr>
              <w:jc w:val="center"/>
            </w:pPr>
            <w:r/>
            <w:r>
              <w:rPr>
                <w:rFonts w:ascii="Calibri" w:hAnsi="Calibri"/>
                <w:b/>
                <w:i w:val="0"/>
                <w:color w:val="FFFFFF"/>
                <w:sz w:val="22"/>
                <w:u w:val="none"/>
              </w:rPr>
              <w:t>DCI</w:t>
            </w:r>
          </w:p>
        </w:tc>
      </w:tr>
      <w:tr>
        <w:tc>
          <w:tcPr>
            <w:tcW w:type="dxa" w:w="1728"/>
          </w:tcPr>
          <w:p>
            <w:r/>
            <w:r>
              <w:rPr>
                <w:rFonts w:ascii="Calibri" w:hAnsi="Calibri"/>
                <w:b w:val="0"/>
                <w:i w:val="0"/>
                <w:color w:val="000000"/>
                <w:sz w:val="22"/>
                <w:u w:val="none"/>
              </w:rPr>
              <w:t>HS-PS1-11</w:t>
            </w:r>
          </w:p>
        </w:tc>
        <w:tc>
          <w:tcPr>
            <w:tcW w:type="dxa" w:w="2880"/>
          </w:tcPr>
          <w:p>
            <w:r/>
            <w:r>
              <w:rPr>
                <w:rFonts w:ascii="Calibri" w:hAnsi="Calibri"/>
                <w:b w:val="0"/>
                <w:i w:val="0"/>
                <w:color w:val="000000"/>
                <w:sz w:val="22"/>
                <w:u w:val="none"/>
              </w:rPr>
              <w:t>Using Mathematics and Computational Thinking</w:t>
            </w:r>
          </w:p>
        </w:tc>
        <w:tc>
          <w:tcPr>
            <w:tcW w:type="dxa" w:w="2160"/>
          </w:tcPr>
          <w:p>
            <w:r/>
            <w:r>
              <w:rPr>
                <w:rFonts w:ascii="Calibri" w:hAnsi="Calibri"/>
                <w:b w:val="0"/>
                <w:i w:val="0"/>
                <w:color w:val="000000"/>
                <w:sz w:val="22"/>
                <w:u w:val="none"/>
              </w:rPr>
              <w:t>Scale, Proportion, and Quantity</w:t>
            </w:r>
          </w:p>
        </w:tc>
        <w:tc>
          <w:tcPr>
            <w:tcW w:type="dxa" w:w="3600"/>
          </w:tcPr>
          <w:p>
            <w:r/>
            <w:r>
              <w:rPr>
                <w:rFonts w:ascii="Calibri" w:hAnsi="Calibri"/>
                <w:b w:val="0"/>
                <w:i w:val="0"/>
                <w:color w:val="000000"/>
                <w:sz w:val="22"/>
                <w:u w:val="none"/>
              </w:rPr>
              <w:t>PS1.B: Chemical Reactions</w:t>
            </w:r>
          </w:p>
        </w:tc>
      </w:tr>
    </w:tbl>
    <w:p/>
    <w:p>
      <w:pPr>
        <w:spacing w:before="160" w:after="80"/>
        <w:jc w:val="left"/>
      </w:pPr>
      <w:r>
        <w:rPr>
          <w:rFonts w:ascii="Calibri" w:hAnsi="Calibri"/>
          <w:b/>
          <w:i w:val="0"/>
          <w:color w:val="1F4E79"/>
          <w:sz w:val="24"/>
          <w:u w:val="none"/>
        </w:rPr>
        <w:t>Materials &amp; Preparation</w:t>
      </w:r>
    </w:p>
    <w:p>
      <w:pPr>
        <w:pStyle w:val="ListBullet"/>
        <w:spacing w:before="20" w:after="20"/>
      </w:pPr>
      <w:r>
        <w:rPr>
          <w:rFonts w:ascii="Calibri" w:hAnsi="Calibri"/>
          <w:b w:val="0"/>
          <w:i w:val="0"/>
          <w:color w:val="000000"/>
          <w:sz w:val="22"/>
          <w:u w:val="none"/>
        </w:rPr>
        <w:t>pH paper and pH meters or probes (1 per group)</w:t>
      </w:r>
    </w:p>
    <w:p>
      <w:pPr>
        <w:pStyle w:val="ListBullet"/>
        <w:spacing w:before="20" w:after="20"/>
      </w:pPr>
      <w:r>
        <w:rPr>
          <w:rFonts w:ascii="Calibri" w:hAnsi="Calibri"/>
          <w:b w:val="0"/>
          <w:i w:val="0"/>
          <w:color w:val="000000"/>
          <w:sz w:val="22"/>
          <w:u w:val="none"/>
        </w:rPr>
        <w:t>Solution set: 0.1 M HCl, 0.01 M HCl, 0.001 M HCl, distilled water, 0.001 M NaOH, 0.01 M NaOH, 0.1 M NaOH</w:t>
      </w:r>
    </w:p>
    <w:p>
      <w:pPr>
        <w:pStyle w:val="ListBullet"/>
        <w:spacing w:before="20" w:after="20"/>
      </w:pPr>
      <w:r>
        <w:rPr>
          <w:rFonts w:ascii="Calibri" w:hAnsi="Calibri"/>
          <w:b w:val="0"/>
          <w:i w:val="0"/>
          <w:color w:val="000000"/>
          <w:sz w:val="22"/>
          <w:u w:val="none"/>
        </w:rPr>
        <w:t>Indicator solution set: phenolphthalein, bromthymol blue, methyl orange, litmus</w:t>
      </w:r>
    </w:p>
    <w:p>
      <w:pPr>
        <w:pStyle w:val="ListBullet"/>
        <w:spacing w:before="20" w:after="20"/>
      </w:pPr>
      <w:r>
        <w:rPr>
          <w:rFonts w:ascii="Calibri" w:hAnsi="Calibri"/>
          <w:b w:val="0"/>
          <w:i w:val="0"/>
          <w:color w:val="000000"/>
          <w:sz w:val="22"/>
          <w:u w:val="none"/>
        </w:rPr>
        <w:t>pH scale poster (for display)</w:t>
      </w:r>
    </w:p>
    <w:p>
      <w:pPr>
        <w:pStyle w:val="ListBullet"/>
        <w:spacing w:before="20" w:after="20"/>
      </w:pPr>
      <w:r>
        <w:rPr>
          <w:rFonts w:ascii="Calibri" w:hAnsi="Calibri"/>
          <w:b w:val="0"/>
          <w:i w:val="0"/>
          <w:color w:val="000000"/>
          <w:sz w:val="22"/>
          <w:u w:val="none"/>
        </w:rPr>
        <w:t>pH calculation practice worksheet (printed)</w:t>
      </w:r>
    </w:p>
    <w:p>
      <w:pPr>
        <w:pStyle w:val="ListBullet"/>
        <w:spacing w:before="20" w:after="20"/>
      </w:pPr>
      <w:r>
        <w:rPr>
          <w:rFonts w:ascii="Calibri" w:hAnsi="Calibri"/>
          <w:b w:val="0"/>
          <w:i w:val="0"/>
          <w:color w:val="000000"/>
          <w:sz w:val="22"/>
          <w:u w:val="none"/>
        </w:rPr>
        <w:t>Scientific calculators (1 per student)</w:t>
      </w:r>
    </w:p>
    <w:p>
      <w:pPr>
        <w:spacing w:before="160" w:after="80"/>
        <w:jc w:val="left"/>
      </w:pPr>
      <w:r>
        <w:rPr>
          <w:rFonts w:ascii="Calibri" w:hAnsi="Calibri"/>
          <w:b/>
          <w:i w:val="0"/>
          <w:color w:val="1F4E79"/>
          <w:sz w:val="24"/>
          <w:u w:val="none"/>
        </w:rPr>
        <w:t>5E Instructional Sequence</w:t>
      </w:r>
    </w:p>
    <w:p>
      <w:pPr>
        <w:spacing w:before="80" w:after="40"/>
      </w:pPr>
      <w:r>
        <w:rPr>
          <w:rFonts w:ascii="Calibri" w:hAnsi="Calibri"/>
          <w:b/>
          <w:i w:val="0"/>
          <w:color w:val="1F4E79"/>
          <w:sz w:val="22"/>
          <w:u w:val="none"/>
        </w:rPr>
        <w:t xml:space="preserve">Engage (5 min): </w:t>
      </w:r>
      <w:r>
        <w:rPr>
          <w:rFonts w:ascii="Calibri" w:hAnsi="Calibri"/>
          <w:b w:val="0"/>
          <w:i w:val="0"/>
          <w:color w:val="000000"/>
          <w:sz w:val="22"/>
          <w:u w:val="none"/>
        </w:rPr>
        <w:t>Anchoring phenomenon presentation. Students record initial observations and questions. Topic focus: pH Scale, Indicators, and pH Calculations. Show a large pH scale poster with common substances plotted (battery acid at 1, lemon juice at 2, vinegar at 3, coffee at 5, milk at 6.5, pure water at 7, baking soda at 9, ammonia at 11, bleach at 13). Ask students to identify the pattern. Reveal: each step on the pH scale represents a tenfold change in H3O+ concentration — pH is logarithmic. So Solution A (pH 2) is actually 1000 times more acidic than Solution B (pH 5).</w:t>
      </w:r>
    </w:p>
    <w:p>
      <w:pPr>
        <w:spacing w:before="80" w:after="40"/>
      </w:pPr>
      <w:r>
        <w:rPr>
          <w:rFonts w:ascii="Calibri" w:hAnsi="Calibri"/>
          <w:b/>
          <w:i w:val="0"/>
          <w:color w:val="1F4E79"/>
          <w:sz w:val="22"/>
          <w:u w:val="none"/>
        </w:rPr>
        <w:t xml:space="preserve">Explore (12 min): </w:t>
      </w:r>
      <w:r>
        <w:rPr>
          <w:rFonts w:ascii="Calibri" w:hAnsi="Calibri"/>
          <w:b w:val="0"/>
          <w:i w:val="0"/>
          <w:color w:val="000000"/>
          <w:sz w:val="22"/>
          <w:u w:val="none"/>
        </w:rPr>
        <w:t>Guided discovery activity — students investigate the concept through hands-on work. Topic focus: pH Scale, Indicators, and pH Calculations. Two-part exploration. Part A: Students measure the pH of seven solutions (serial dilutions of HCl, water, and serial dilutions of NaOH) using pH paper and record results. They notice the pH changes by 1 for each tenfold dilution. Part B: Students test the same solutions with four indicators (phenolphthalein, bromthymol blue, methyl orange, litmus) and record the color at each pH. They construct an indicator reference chart showing the color-change range of each indicator.</w:t>
      </w:r>
    </w:p>
    <w:p>
      <w:pPr>
        <w:spacing w:before="80" w:after="40"/>
      </w:pPr>
      <w:r>
        <w:rPr>
          <w:rFonts w:ascii="Calibri" w:hAnsi="Calibri"/>
          <w:b/>
          <w:i w:val="0"/>
          <w:color w:val="1F4E79"/>
          <w:sz w:val="22"/>
          <w:u w:val="none"/>
        </w:rPr>
        <w:t xml:space="preserve">Explain (8 min): </w:t>
      </w:r>
      <w:r>
        <w:rPr>
          <w:rFonts w:ascii="Calibri" w:hAnsi="Calibri"/>
          <w:b w:val="0"/>
          <w:i w:val="0"/>
          <w:color w:val="000000"/>
          <w:sz w:val="22"/>
          <w:u w:val="none"/>
        </w:rPr>
        <w:t>Direct instruction introducing core vocabulary, principles, and relationships. Topic focus: pH Scale, Indicators, and pH Calculations. Teacher formalizes: pH = -log[H3O+]. At pH 7, [H3O+] = 1 x 10^-7 M (neutral). Below 7 is acidic (more H3O+). Above 7 is basic (less H3O+, more OH-). Also: [H3O+] x [OH-] = 1 x 10^-14 at 25 degrees C (Kw). Students practice converting between pH and [H3O+]: If [H3O+] = 1 x 10^-3, pH = 3. If pH = 9, [H3O+] = 1 x 10^-9.</w:t>
      </w:r>
    </w:p>
    <w:p>
      <w:pPr>
        <w:spacing w:before="80" w:after="40"/>
      </w:pPr>
      <w:r>
        <w:rPr>
          <w:rFonts w:ascii="Calibri" w:hAnsi="Calibri"/>
          <w:b/>
          <w:i w:val="0"/>
          <w:color w:val="1F4E79"/>
          <w:sz w:val="22"/>
          <w:u w:val="none"/>
        </w:rPr>
        <w:t xml:space="preserve">Elaborate (7 min): </w:t>
      </w:r>
      <w:r>
        <w:rPr>
          <w:rFonts w:ascii="Calibri" w:hAnsi="Calibri"/>
          <w:b w:val="0"/>
          <w:i w:val="0"/>
          <w:color w:val="000000"/>
          <w:sz w:val="22"/>
          <w:u w:val="none"/>
        </w:rPr>
        <w:t>Hochman writing activity using new vocabulary in Because/But/So sentences. Topic focus: pH Scale, Indicators, and pH Calculations. Application problems: (1) A lake has a pH of 4.5 due to acid rain. Calculate [H3O+]. (2) A student measures [OH-] = 1 x 10^-4 M. Find [H3O+] and pH. (3) Which indicator from the reference chart would be best for detecting whether milk (pH ~6.5) has become acidic (spoiled)? Justify your choice using the indicator ranges.</w:t>
      </w:r>
    </w:p>
    <w:p>
      <w:pPr>
        <w:spacing w:before="80" w:after="40"/>
      </w:pPr>
      <w:r>
        <w:rPr>
          <w:rFonts w:ascii="Calibri" w:hAnsi="Calibri"/>
          <w:b/>
          <w:i w:val="0"/>
          <w:color w:val="1F4E79"/>
          <w:sz w:val="22"/>
          <w:u w:val="none"/>
        </w:rPr>
        <w:t xml:space="preserve">Evaluate (3 min): </w:t>
      </w:r>
      <w:r>
        <w:rPr>
          <w:rFonts w:ascii="Calibri" w:hAnsi="Calibri"/>
          <w:b w:val="0"/>
          <w:i w:val="0"/>
          <w:color w:val="000000"/>
          <w:sz w:val="22"/>
          <w:u w:val="none"/>
        </w:rPr>
        <w:t>Exit ticket — match terms to definitions, identify key relationships. Topic focus: pH Scale, Indicators, and pH Calculations. Exit ticket: (1) Calculate the pH of a solution with [H3O+] = 1 x 10^-5 M. (2) A solution has a pH of 11. Calculate [H3O+] and [OH-]. (3) How many times more acidic is a solution with pH 3 than a solution with pH 6?</w:t>
      </w:r>
    </w:p>
    <w:p/>
    <w:p>
      <w:pPr>
        <w:spacing w:before="160" w:after="80"/>
        <w:jc w:val="left"/>
      </w:pPr>
      <w:r>
        <w:rPr>
          <w:rFonts w:ascii="Calibri" w:hAnsi="Calibri"/>
          <w:b/>
          <w:i w:val="0"/>
          <w:color w:val="1F4E79"/>
          <w:sz w:val="24"/>
          <w:u w:val="none"/>
        </w:rPr>
        <w:t>Differentiation</w:t>
      </w:r>
    </w:p>
    <w:tbl>
      <w:tblPr>
        <w:tblStyle w:val="TableGrid"/>
        <w:tblW w:type="auto" w:w="0"/>
        <w:jc w:val="center"/>
        <w:tblLook w:firstColumn="1" w:firstRow="1" w:lastColumn="0" w:lastRow="0" w:noHBand="0" w:noVBand="1" w:val="04A0"/>
      </w:tblPr>
      <w:tblGrid>
        <w:gridCol w:w="5040"/>
        <w:gridCol w:w="5040"/>
      </w:tblGrid>
      <w:tr>
        <w:tc>
          <w:tcPr>
            <w:tcW w:type="dxa" w:w="2160"/>
            <w:shd w:fill="1F4E79" w:val="clear"/>
          </w:tcPr>
          <w:p>
            <w:pPr>
              <w:jc w:val="center"/>
            </w:pPr>
            <w:r/>
            <w:r>
              <w:rPr>
                <w:rFonts w:ascii="Calibri" w:hAnsi="Calibri"/>
                <w:b/>
                <w:i w:val="0"/>
                <w:color w:val="FFFFFF"/>
                <w:sz w:val="22"/>
                <w:u w:val="none"/>
              </w:rPr>
              <w:t>Level</w:t>
            </w:r>
          </w:p>
        </w:tc>
        <w:tc>
          <w:tcPr>
            <w:tcW w:type="dxa" w:w="7920"/>
            <w:shd w:fill="1F4E79" w:val="clear"/>
          </w:tcPr>
          <w:p>
            <w:pPr>
              <w:jc w:val="center"/>
            </w:pPr>
            <w:r/>
            <w:r>
              <w:rPr>
                <w:rFonts w:ascii="Calibri" w:hAnsi="Calibri"/>
                <w:b/>
                <w:i w:val="0"/>
                <w:color w:val="FFFFFF"/>
                <w:sz w:val="22"/>
                <w:u w:val="none"/>
              </w:rPr>
              <w:t>Accommodations / Modifications</w:t>
            </w:r>
          </w:p>
        </w:tc>
      </w:tr>
      <w:tr>
        <w:tc>
          <w:tcPr>
            <w:tcW w:type="dxa" w:w="2160"/>
          </w:tcPr>
          <w:p>
            <w:r/>
            <w:r>
              <w:rPr>
                <w:rFonts w:ascii="Calibri" w:hAnsi="Calibri"/>
                <w:b w:val="0"/>
                <w:i w:val="0"/>
                <w:color w:val="000000"/>
                <w:sz w:val="22"/>
                <w:u w:val="none"/>
              </w:rPr>
              <w:t>Approaching</w:t>
            </w:r>
          </w:p>
        </w:tc>
        <w:tc>
          <w:tcPr>
            <w:tcW w:type="dxa" w:w="7920"/>
          </w:tcPr>
          <w:p>
            <w:r/>
            <w:r>
              <w:rPr>
                <w:rFonts w:ascii="Calibri" w:hAnsi="Calibri"/>
                <w:b w:val="0"/>
                <w:i w:val="0"/>
                <w:color w:val="000000"/>
                <w:sz w:val="22"/>
                <w:u w:val="none"/>
              </w:rPr>
              <w:t>Provide a pH conversion chart showing pH values from 1-14 with corresponding [H3O+] concentrations already listed; include step-by-step calculation template: 'pH = -log[___] = -log[1 x 10^-___] = ___.'</w:t>
            </w:r>
          </w:p>
        </w:tc>
      </w:tr>
      <w:tr>
        <w:tc>
          <w:tcPr>
            <w:tcW w:type="dxa" w:w="2160"/>
            <w:shd w:fill="F2F2F2" w:val="clear"/>
          </w:tcPr>
          <w:p>
            <w:r/>
            <w:r>
              <w:rPr>
                <w:rFonts w:ascii="Calibri" w:hAnsi="Calibri"/>
                <w:b w:val="0"/>
                <w:i w:val="0"/>
                <w:color w:val="000000"/>
                <w:sz w:val="22"/>
                <w:u w:val="none"/>
              </w:rPr>
              <w:t>On-Level</w:t>
            </w:r>
          </w:p>
        </w:tc>
        <w:tc>
          <w:tcPr>
            <w:tcW w:type="dxa" w:w="7920"/>
            <w:shd w:fill="F2F2F2" w:val="clear"/>
          </w:tcPr>
          <w:p>
            <w:r/>
            <w:r>
              <w:rPr>
                <w:rFonts w:ascii="Calibri" w:hAnsi="Calibri"/>
                <w:b w:val="0"/>
                <w:i w:val="0"/>
                <w:color w:val="000000"/>
                <w:sz w:val="22"/>
                <w:u w:val="none"/>
              </w:rPr>
              <w:t>Complete the pH measurement, indicator charting, and calculation practice as designed.</w:t>
            </w:r>
          </w:p>
        </w:tc>
      </w:tr>
      <w:tr>
        <w:tc>
          <w:tcPr>
            <w:tcW w:type="dxa" w:w="2160"/>
          </w:tcPr>
          <w:p>
            <w:r/>
            <w:r>
              <w:rPr>
                <w:rFonts w:ascii="Calibri" w:hAnsi="Calibri"/>
                <w:b w:val="0"/>
                <w:i w:val="0"/>
                <w:color w:val="000000"/>
                <w:sz w:val="22"/>
                <w:u w:val="none"/>
              </w:rPr>
              <w:t>Advanced</w:t>
            </w:r>
          </w:p>
        </w:tc>
        <w:tc>
          <w:tcPr>
            <w:tcW w:type="dxa" w:w="7920"/>
          </w:tcPr>
          <w:p>
            <w:r/>
            <w:r>
              <w:rPr>
                <w:rFonts w:ascii="Calibri" w:hAnsi="Calibri"/>
                <w:b w:val="0"/>
                <w:i w:val="0"/>
                <w:color w:val="000000"/>
                <w:sz w:val="22"/>
                <w:u w:val="none"/>
              </w:rPr>
              <w:t>Calculate pH for concentrations that are not exact powers of 10 (e.g., [H3O+] = 3.5 x 10^-4 M) using the log function on a calculator, and explain why pH is not always a whole number.</w:t>
            </w:r>
          </w:p>
        </w:tc>
      </w:tr>
      <w:tr>
        <w:tc>
          <w:tcPr>
            <w:tcW w:type="dxa" w:w="2160"/>
            <w:shd w:fill="F2F2F2" w:val="clear"/>
          </w:tcPr>
          <w:p>
            <w:r/>
            <w:r>
              <w:rPr>
                <w:rFonts w:ascii="Calibri" w:hAnsi="Calibri"/>
                <w:b w:val="0"/>
                <w:i w:val="0"/>
                <w:color w:val="000000"/>
                <w:sz w:val="22"/>
                <w:u w:val="none"/>
              </w:rPr>
              <w:t>ELL</w:t>
            </w:r>
          </w:p>
        </w:tc>
        <w:tc>
          <w:tcPr>
            <w:tcW w:type="dxa" w:w="7920"/>
            <w:shd w:fill="F2F2F2" w:val="clear"/>
          </w:tcPr>
          <w:p>
            <w:r/>
            <w:r>
              <w:rPr>
                <w:rFonts w:ascii="Calibri" w:hAnsi="Calibri"/>
                <w:b w:val="0"/>
                <w:i w:val="0"/>
                <w:color w:val="000000"/>
                <w:sz w:val="22"/>
                <w:u w:val="none"/>
              </w:rPr>
              <w:t>Provide a visual pH scale with color coding and bilingual labels; use sentence frames for explaining calculations; allow verbal explanation of indicator choices.</w:t>
            </w:r>
          </w:p>
        </w:tc>
      </w:tr>
      <w:tr>
        <w:tc>
          <w:tcPr>
            <w:tcW w:type="dxa" w:w="2160"/>
          </w:tcPr>
          <w:p>
            <w:r/>
            <w:r>
              <w:rPr>
                <w:rFonts w:ascii="Calibri" w:hAnsi="Calibri"/>
                <w:b w:val="0"/>
                <w:i w:val="0"/>
                <w:color w:val="000000"/>
                <w:sz w:val="22"/>
                <w:u w:val="none"/>
              </w:rPr>
              <w:t>IEP</w:t>
            </w:r>
          </w:p>
        </w:tc>
        <w:tc>
          <w:tcPr>
            <w:tcW w:type="dxa" w:w="7920"/>
          </w:tcPr>
          <w:p>
            <w:r/>
            <w:r>
              <w:rPr>
                <w:rFonts w:ascii="Calibri" w:hAnsi="Calibri"/>
                <w:b w:val="0"/>
                <w:i w:val="0"/>
                <w:color w:val="000000"/>
                <w:sz w:val="22"/>
                <w:u w:val="none"/>
              </w:rPr>
              <w:t>Provide pre-formatted calculation workspace with blanks to fill in; allow use of pH conversion chart during exit ticket; reduce problems from three to two.</w:t>
            </w:r>
          </w:p>
        </w:tc>
      </w:tr>
    </w:tbl>
    <w:p/>
    <w:p>
      <w:pPr>
        <w:spacing w:before="160" w:after="80"/>
        <w:jc w:val="left"/>
      </w:pPr>
      <w:r>
        <w:rPr>
          <w:rFonts w:ascii="Calibri" w:hAnsi="Calibri"/>
          <w:b/>
          <w:i w:val="0"/>
          <w:color w:val="1F4E79"/>
          <w:sz w:val="24"/>
          <w:u w:val="none"/>
        </w:rPr>
        <w:t>CRSE Connections</w:t>
      </w:r>
    </w:p>
    <w:p>
      <w:pPr>
        <w:spacing w:before="80" w:after="80"/>
        <w:shd w:fill="E2EFDA" w:val="clear"/>
      </w:pPr>
      <w:r>
        <w:rPr>
          <w:rFonts w:ascii="Calibri" w:hAnsi="Calibri"/>
          <w:b/>
          <w:i w:val="0"/>
          <w:color w:val="1F4E79"/>
          <w:sz w:val="22"/>
          <w:u w:val="none"/>
        </w:rPr>
        <w:t xml:space="preserve">Culturally Responsive-Sustaining Education: </w:t>
      </w:r>
      <w:r>
        <w:rPr>
          <w:rFonts w:ascii="Calibri" w:hAnsi="Calibri"/>
          <w:b w:val="0"/>
          <w:i w:val="0"/>
          <w:color w:val="000000"/>
          <w:sz w:val="22"/>
          <w:u w:val="none"/>
        </w:rPr>
        <w:t>Discuss acid rain as an environmental justice issue: sulfur dioxide and nitrogen oxide emissions from coal plants and factories create acid rain that lowers the pH of lakes and soil. Communities in Appalachia and the Adirondacks have experienced ecological damage. Highlight how pH monitoring helped advocate for the Clean Air Act. Also discuss how soil pH affects agriculture — the traditional practice of adding lime (CaO, a base) to acidic soil has been used by farmers worldwide for centuries, from Roman agriculture to modern sustainable farming.</w:t>
      </w:r>
    </w:p>
    <w:p>
      <w:pPr>
        <w:spacing w:before="160" w:after="80"/>
        <w:jc w:val="left"/>
      </w:pPr>
      <w:r>
        <w:rPr>
          <w:rFonts w:ascii="Calibri" w:hAnsi="Calibri"/>
          <w:b/>
          <w:i w:val="0"/>
          <w:color w:val="1F4E79"/>
          <w:sz w:val="24"/>
          <w:u w:val="none"/>
        </w:rPr>
        <w:t>Suggested Hochman Writing Activity</w:t>
      </w:r>
    </w:p>
    <w:p>
      <w:pPr>
        <w:spacing w:before="80" w:after="80"/>
        <w:shd w:fill="D6E4F0" w:val="clear"/>
      </w:pPr>
      <w:r>
        <w:rPr>
          <w:rFonts w:ascii="Calibri" w:hAnsi="Calibri"/>
          <w:b/>
          <w:i w:val="0"/>
          <w:color w:val="1F4E79"/>
          <w:sz w:val="22"/>
          <w:u w:val="none"/>
        </w:rPr>
        <w:t xml:space="preserve">Suggested Literacy Activity: </w:t>
      </w:r>
      <w:r>
        <w:rPr>
          <w:rFonts w:ascii="Calibri" w:hAnsi="Calibri"/>
          <w:b w:val="0"/>
          <w:i w:val="0"/>
          <w:color w:val="000000"/>
          <w:sz w:val="22"/>
          <w:u w:val="none"/>
        </w:rPr>
        <w:t>Because/But/So using 'pH': A solution with pH 2 is more acidic than a solution with pH 5 because___. Both solutions are acidic, but the one with pH 2 has 1000 times more hydronium ions, so___. The pH scale is logarithmic, so each one-unit change represents___.</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F4E79"/>
        <w:sz w:val="18"/>
      </w:rPr>
      <w:t>Valley Stream Central High School District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