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Student Notes</w:t>
      </w:r>
    </w:p>
    <w:p>
      <w:pPr>
        <w:spacing w:before="0" w:after="80"/>
        <w:jc w:val="center"/>
      </w:pPr>
      <w:r>
        <w:rPr>
          <w:rFonts w:ascii="Calibri" w:hAnsi="Calibri"/>
          <w:b w:val="0"/>
          <w:i/>
          <w:color w:val="1F4E79"/>
          <w:sz w:val="22"/>
          <w:u w:val="none"/>
        </w:rPr>
        <w:t>Unit 10: Waves, EM Radiation &amp; Nuclear Chemistry  |  Lesson 7: Nuclear Reactions: Fission, Fusion, and Radioactive Decay (Day 2 of 3)</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20" w:after="120"/>
        <w:shd w:fill="D6E4F0" w:val="clear"/>
      </w:pPr>
      <w:r>
        <w:rPr>
          <w:rFonts w:ascii="Calibri" w:hAnsi="Calibri"/>
          <w:b/>
          <w:i w:val="0"/>
          <w:color w:val="1F4E79"/>
          <w:sz w:val="22"/>
          <w:u w:val="none"/>
        </w:rPr>
        <w:t xml:space="preserve">Learning Target: </w:t>
      </w:r>
      <w:r>
        <w:rPr>
          <w:rFonts w:ascii="Calibri" w:hAnsi="Calibri"/>
          <w:b w:val="0"/>
          <w:i w:val="0"/>
          <w:color w:val="000000"/>
          <w:sz w:val="22"/>
          <w:u w:val="none"/>
        </w:rPr>
        <w:t>At the end of 42 minutes I can apply and compare concepts and write balanced nuclear equations for alpha decay, beta decay, and positron emission, and compare fission, fusion, and radioactive decay in terms of changes to the nucleus and energy released</w:t>
      </w:r>
    </w:p>
    <w:p>
      <w:pPr>
        <w:spacing w:before="160" w:after="80"/>
        <w:jc w:val="left"/>
      </w:pPr>
      <w:r>
        <w:rPr>
          <w:rFonts w:ascii="Calibri" w:hAnsi="Calibri"/>
          <w:b/>
          <w:i w:val="0"/>
          <w:color w:val="1F4E79"/>
          <w:sz w:val="24"/>
          <w:u w:val="none"/>
        </w:rPr>
        <w:t>Key Vocabulary</w:t>
      </w:r>
    </w:p>
    <w:tbl>
      <w:tblPr>
        <w:tblStyle w:val="TableGrid"/>
        <w:tblW w:type="auto" w:w="0"/>
        <w:jc w:val="center"/>
        <w:tblLook w:firstColumn="1" w:firstRow="1" w:lastColumn="0" w:lastRow="0" w:noHBand="0" w:noVBand="1" w:val="04A0"/>
      </w:tblPr>
      <w:tblGrid>
        <w:gridCol w:w="5040"/>
        <w:gridCol w:w="5040"/>
      </w:tblGrid>
      <w:tr>
        <w:tc>
          <w:tcPr>
            <w:tcW w:type="dxa" w:w="2880"/>
            <w:shd w:fill="1F4E79" w:val="clear"/>
          </w:tcPr>
          <w:p>
            <w:pPr>
              <w:jc w:val="center"/>
            </w:pPr>
            <w:r/>
            <w:r>
              <w:rPr>
                <w:rFonts w:ascii="Calibri" w:hAnsi="Calibri"/>
                <w:b/>
                <w:i w:val="0"/>
                <w:color w:val="FFFFFF"/>
                <w:sz w:val="22"/>
                <w:u w:val="none"/>
              </w:rPr>
              <w:t>Term</w:t>
            </w:r>
          </w:p>
        </w:tc>
        <w:tc>
          <w:tcPr>
            <w:tcW w:type="dxa" w:w="7200"/>
            <w:shd w:fill="1F4E79" w:val="clear"/>
          </w:tcPr>
          <w:p>
            <w:pPr>
              <w:jc w:val="center"/>
            </w:pPr>
            <w:r/>
            <w:r>
              <w:rPr>
                <w:rFonts w:ascii="Calibri" w:hAnsi="Calibri"/>
                <w:b/>
                <w:i w:val="0"/>
                <w:color w:val="FFFFFF"/>
                <w:sz w:val="22"/>
                <w:u w:val="none"/>
              </w:rPr>
              <w:t>Definition (fill in the blanks)</w:t>
            </w:r>
          </w:p>
        </w:tc>
      </w:tr>
      <w:tr>
        <w:tc>
          <w:tcPr>
            <w:tcW w:type="dxa" w:w="2880"/>
          </w:tcPr>
          <w:p>
            <w:r/>
            <w:r>
              <w:rPr>
                <w:rFonts w:ascii="Calibri" w:hAnsi="Calibri"/>
                <w:b w:val="0"/>
                <w:i w:val="0"/>
                <w:color w:val="000000"/>
                <w:sz w:val="22"/>
                <w:u w:val="none"/>
              </w:rPr>
              <w:t>Alpha Decay</w:t>
            </w:r>
          </w:p>
        </w:tc>
        <w:tc>
          <w:tcPr>
            <w:tcW w:type="dxa" w:w="7200"/>
          </w:tcPr>
          <w:p>
            <w:r/>
            <w:r>
              <w:rPr>
                <w:rFonts w:ascii="Calibri" w:hAnsi="Calibri"/>
                <w:b w:val="0"/>
                <w:i w:val="0"/>
                <w:color w:val="000000"/>
                <w:sz w:val="22"/>
                <w:u w:val="none"/>
              </w:rPr>
              <w:t>A type of ________ decay in ________ the nucleus ________ an alpha ________ (2 protons ________ 2 neutrons, ________ to a ________ nucleus)</w:t>
            </w:r>
          </w:p>
        </w:tc>
      </w:tr>
      <w:tr>
        <w:tc>
          <w:tcPr>
            <w:tcW w:type="dxa" w:w="2880"/>
            <w:shd w:fill="F2F2F2" w:val="clear"/>
          </w:tcPr>
          <w:p>
            <w:r/>
            <w:r>
              <w:rPr>
                <w:rFonts w:ascii="Calibri" w:hAnsi="Calibri"/>
                <w:b w:val="0"/>
                <w:i w:val="0"/>
                <w:color w:val="000000"/>
                <w:sz w:val="22"/>
                <w:u w:val="none"/>
              </w:rPr>
              <w:t>Fusion</w:t>
            </w:r>
          </w:p>
        </w:tc>
        <w:tc>
          <w:tcPr>
            <w:tcW w:type="dxa" w:w="7200"/>
            <w:shd w:fill="F2F2F2" w:val="clear"/>
          </w:tcPr>
          <w:p>
            <w:r/>
            <w:r>
              <w:rPr>
                <w:rFonts w:ascii="Calibri" w:hAnsi="Calibri"/>
                <w:b w:val="0"/>
                <w:i w:val="0"/>
                <w:color w:val="000000"/>
                <w:sz w:val="22"/>
                <w:u w:val="none"/>
              </w:rPr>
              <w:t>A nuclear reaction ________ which two ________ nuclei combine ________ form a ________ nucleus, releasing ________ energy (powers ________ Sun)</w:t>
            </w:r>
          </w:p>
        </w:tc>
      </w:tr>
    </w:tbl>
    <w:p/>
    <w:p>
      <w:pPr>
        <w:spacing w:before="160" w:after="80"/>
        <w:jc w:val="left"/>
      </w:pPr>
      <w:r>
        <w:rPr>
          <w:rFonts w:ascii="Calibri" w:hAnsi="Calibri"/>
          <w:b/>
          <w:i w:val="0"/>
          <w:color w:val="1F4E79"/>
          <w:sz w:val="24"/>
          <w:u w:val="none"/>
        </w:rPr>
        <w:t>Guided Notes</w:t>
      </w:r>
    </w:p>
    <w:p>
      <w:pPr>
        <w:spacing w:before="120" w:after="80"/>
        <w:jc w:val="left"/>
      </w:pPr>
      <w:r>
        <w:rPr>
          <w:rFonts w:ascii="Calibri" w:hAnsi="Calibri"/>
          <w:b/>
          <w:i w:val="0"/>
          <w:color w:val="000000"/>
          <w:sz w:val="22"/>
          <w:u w:val="none"/>
        </w:rPr>
        <w:t>Section 2: Types of Radioactive Decay — Alpha, Beta, Gamma</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120" w:after="80"/>
        <w:jc w:val="left"/>
      </w:pPr>
      <w:r>
        <w:rPr>
          <w:rFonts w:ascii="Calibri" w:hAnsi="Calibri"/>
          <w:b/>
          <w:i w:val="0"/>
          <w:color w:val="000000"/>
          <w:sz w:val="22"/>
          <w:u w:val="none"/>
        </w:rPr>
        <w:t>Section 5: Half-Life and Radioactive Dating</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Summary</w:t>
      </w:r>
    </w:p>
    <w:p>
      <w:pPr>
        <w:spacing w:before="80"/>
        <w:shd w:fill="E2EFDA" w:val="clear"/>
      </w:pPr>
      <w:r>
        <w:rPr>
          <w:rFonts w:ascii="Calibri" w:hAnsi="Calibri"/>
          <w:b w:val="0"/>
          <w:i/>
          <w:color w:val="000000"/>
          <w:sz w:val="22"/>
          <w:u w:val="none"/>
        </w:rPr>
        <w:t xml:space="preserve">Complete the Because/But/So sentence frame about </w:t>
      </w:r>
      <w:r>
        <w:rPr>
          <w:rFonts w:ascii="Calibri" w:hAnsi="Calibri"/>
          <w:b/>
          <w:i/>
          <w:color w:val="000000"/>
          <w:sz w:val="22"/>
          <w:u w:val="none"/>
        </w:rPr>
        <w:t>Nuclear Reactions: Fission, Fusion, and Radioactive Decay (Day 2 of 3):</w:t>
      </w:r>
    </w:p>
    <w:p>
      <w:pPr>
        <w:spacing w:before="80" w:after="40"/>
      </w:pPr>
      <w:r>
        <w:rPr>
          <w:rFonts w:ascii="Calibri" w:hAnsi="Calibri"/>
          <w:b/>
          <w:i w:val="0"/>
          <w:color w:val="000000"/>
          <w:sz w:val="22"/>
          <w:u w:val="none"/>
        </w:rPr>
        <w:t xml:space="preserve">Nuclear Reactions: Fission, Fusion, and Radioactive Decay (Day 2 of 3) is important because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Scientists study nuclear reactions: fission, fusion, and radioactive decay (day 2 of 3), but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Understanding nuclear reactions: fission, fusion, and radioactive decay (day 2 of 3) helps us, so </w:t>
      </w:r>
      <w:r>
        <w:rPr>
          <w:rFonts w:ascii="Calibri" w:hAnsi="Calibri"/>
          <w:b w:val="0"/>
          <w:i w:val="0"/>
          <w:color w:val="BBBBBB"/>
          <w:sz w:val="22"/>
          <w:u w:val="none"/>
        </w:rPr>
        <w:t>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