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Chemistry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11: Engineering Design &amp; Review  |  Lesson 8: Course Review and Regents Exam Preparation (Day 3 of 3)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Cumulative Chemistry Application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 new electric vehicle battery company claims their lithium-iron-phosphate (LFP) battery is safer, cheaper, and more environmentally friendly than traditional lithium-cobalt-oxide batteries, though it has slightly lower energy density. The company asks: 'Is this battery the best option for widespread adoption?'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I claim that the LFP battery is/is not the best option for widespread adoption because___.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Integrate chemistry concepts from multiple units: electrochemistry (cell design and voltage), energy (enthalpy and bond stability), materials science (element properties from the periodic table), and engineering design (trade-off analysis of criteria and constraints).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From an electrochemistry perspective, the LFP battery works by___. Its lower energy density means ___, which is a limitation for___. However, iron is ___ than cobalt on the periodic table, making it more abundant and___. The engineering trade-off between energy density and ___ means that for applications like ___, the LFP battery is preferable because___. For applications requiring ___, the cobalt battery may be better because___.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