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Kinematics — 1D &amp; 2D Motion</w:t>
        <w:br/>
        <w:t>Lesson 23: Kinematics Problem-Solving Workshop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 study strategy has been most helpful for you in this class so far?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stone is dropped from a bridge 45 m above a river. How long does it take to hit the water? What is its final velocity?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solve a variety of kinematics problems by integrating graphical analysis, kinematic equations, and free fall concepts.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  <w:br/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Mixed problem set worksheets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Reference tables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(4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challenge: Can you solve this problem in under 2 minutes? A car brakes from 30 m/s to rest in 50 m. Find the acceleration.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Problem-solving workshop: students rotate through problems of increasing difficulty. Each problem requires a different approach (graphs, equations, free fall, projectiles).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(6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Gallery walk — students post solutions and identify common strategies and mistakes.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CER activity: Analyze a real-world kinematics scenario using multiple approaches.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Self-assessment: Rate confidence on each kinematics subtopic; identify areas for review.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Problem set starts with guided examples; equation selection hints provided; peer tutoring pairs.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all problems independently; explain strategy selection for each.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Create a 'kinematics challenge' problem for classmates combining multiple concepts; solve a projectile problem at an angle.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Problem set with diagrams for each scenario; key physics terms highlighted with definitions in margin.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Reduced problem set focusing on core types; formula card and calculator always available; check-in after every 2 problems.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Physics of track and field — Usain Bolt's 100m sprint kinematics analysis. Discuss how athletes from Jamaica and across the African diaspora have dominated sprinting and what the physics reveals about human performance.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'free fall': All objects in free fall accelerate at 9.81 m/s² because___. A feather and hammer fall at the same rate on the Moon, but___. The stone was dropped from rest, so its initial velocity___.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