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hd w:fill="1F4E79" w:val="clear"/>
        <w:spacing w:before="80" w:after="40"/>
        <w:jc w:val="center"/>
      </w:pPr>
      <w:r>
        <w:rPr>
          <w:rFonts w:ascii="Calibri" w:hAnsi="Calibri"/>
          <w:b/>
          <w:i w:val="0"/>
          <w:color w:val="FFFFFF"/>
          <w:sz w:val="28"/>
          <w:u w:val="none"/>
        </w:rPr>
        <w:t>Physics</w:t>
        <w:br/>
      </w:r>
      <w:r>
        <w:rPr>
          <w:rFonts w:ascii="Calibri" w:hAnsi="Calibri"/>
          <w:b/>
          <w:i w:val="0"/>
          <w:color w:val="FFFFFF"/>
          <w:sz w:val="24"/>
          <w:u w:val="none"/>
        </w:rPr>
        <w:t>Unit 3: Newton's Laws &amp; Forces</w:t>
        <w:br/>
        <w:t>Lesson 19: Circular Motion and Centripetal Force (Day 1 of 3)</w:t>
        <w:br/>
      </w:r>
      <w:r>
        <w:rPr>
          <w:rFonts w:ascii="Calibri" w:hAnsi="Calibri"/>
          <w:b w:val="0"/>
          <w:i/>
          <w:color w:val="D6E4F0"/>
          <w:sz w:val="22"/>
          <w:u w:val="none"/>
        </w:rPr>
        <w:t>PE: HS-PS2-1</w:t>
      </w:r>
    </w:p>
    <w:p>
      <w:pPr>
        <w:spacing w:before="160" w:after="80"/>
        <w:jc w:val="left"/>
      </w:pPr>
      <w:r>
        <w:rPr>
          <w:rFonts w:ascii="Calibri" w:hAnsi="Calibri"/>
          <w:b/>
          <w:i w:val="0"/>
          <w:color w:val="1F4E79"/>
          <w:sz w:val="24"/>
          <w:u w:val="none"/>
        </w:rPr>
        <w:t>Suggested Opening Circle (2-3 min)</w:t>
      </w:r>
    </w:p>
    <w:p>
      <w:pPr>
        <w:spacing w:before="80" w:after="80"/>
        <w:shd w:fill="D6E4F0" w:val="clear"/>
      </w:pPr>
      <w:r>
        <w:rPr>
          <w:rFonts w:ascii="Calibri" w:hAnsi="Calibri"/>
          <w:b/>
          <w:i w:val="0"/>
          <w:color w:val="1F4E79"/>
          <w:sz w:val="22"/>
          <w:u w:val="none"/>
        </w:rPr>
        <w:t xml:space="preserve">Suggested Community Prompt: </w:t>
      </w:r>
      <w:r>
        <w:rPr>
          <w:rFonts w:ascii="Calibri" w:hAnsi="Calibri"/>
          <w:b w:val="0"/>
          <w:i w:val="0"/>
          <w:color w:val="000000"/>
          <w:sz w:val="22"/>
          <w:u w:val="none"/>
        </w:rPr>
        <w:t>Have you ever been on a merry-go-round, a spinning ride at an amusement park, or taken a sharp turn in a car? What did you feel? Which direction were you pulled?</w:t>
      </w:r>
    </w:p>
    <w:p>
      <w:pPr>
        <w:spacing w:before="160" w:after="80"/>
        <w:jc w:val="left"/>
      </w:pPr>
      <w:r>
        <w:rPr>
          <w:rFonts w:ascii="Calibri" w:hAnsi="Calibri"/>
          <w:b/>
          <w:i w:val="0"/>
          <w:color w:val="1F4E79"/>
          <w:sz w:val="24"/>
          <w:u w:val="none"/>
        </w:rPr>
        <w:t>Do Now (3-5 min)</w:t>
      </w:r>
    </w:p>
    <w:p>
      <w:pPr>
        <w:spacing w:before="80" w:after="80"/>
        <w:shd w:fill="E2EFDA" w:val="clear"/>
      </w:pPr>
      <w:r>
        <w:rPr>
          <w:rFonts w:ascii="Calibri" w:hAnsi="Calibri"/>
          <w:b/>
          <w:i w:val="0"/>
          <w:color w:val="1F4E79"/>
          <w:sz w:val="22"/>
          <w:u w:val="none"/>
        </w:rPr>
        <w:t xml:space="preserve">Activity: </w:t>
      </w:r>
      <w:r>
        <w:rPr>
          <w:rFonts w:ascii="Calibri" w:hAnsi="Calibri"/>
          <w:b w:val="0"/>
          <w:i w:val="0"/>
          <w:color w:val="000000"/>
          <w:sz w:val="22"/>
          <w:u w:val="none"/>
        </w:rPr>
        <w:t>Tie a small object to a string and swing it in a horizontal circle above your head. If you let go of the string, which direction does the object fly — outward, inward, or tangent to the circle? Try it (safely) and observe.</w:t>
      </w:r>
    </w:p>
    <w:p>
      <w:pPr>
        <w:spacing w:before="40" w:after="40"/>
        <w:pBdr>
          <w:bottom w:val="single" w:sz="4" w:space="1" w:color="1F4E79"/>
        </w:pBdr>
      </w:pPr>
    </w:p>
    <w:p>
      <w:pPr>
        <w:spacing w:before="120" w:after="120"/>
        <w:jc w:val="left"/>
      </w:pPr>
      <w:r>
        <w:rPr>
          <w:rFonts w:ascii="Calibri" w:hAnsi="Calibri"/>
          <w:b/>
          <w:i w:val="0"/>
          <w:color w:val="1F4E79"/>
          <w:sz w:val="24"/>
          <w:u w:val="none"/>
        </w:rPr>
        <w:t xml:space="preserve">Learning Target: </w:t>
      </w:r>
      <w:r>
        <w:rPr>
          <w:rFonts w:ascii="Calibri" w:hAnsi="Calibri"/>
          <w:b/>
          <w:i w:val="0"/>
          <w:color w:val="000000"/>
          <w:sz w:val="24"/>
          <w:u w:val="none"/>
        </w:rPr>
        <w:t>At the end of 42 minutes I can define and describe key concepts related to: explain that an object moving in a circle is accelerating, identify the centripetal force keeping it in circular motion, and calculate centripetal acceleration and force</w:t>
      </w:r>
    </w:p>
    <w:p>
      <w:pPr>
        <w:spacing w:before="40" w:after="40"/>
        <w:pBdr>
          <w:bottom w:val="single" w:sz="4" w:space="1" w:color="1F4E79"/>
        </w:pBdr>
      </w:pPr>
    </w:p>
    <w:p>
      <w:pPr>
        <w:spacing w:before="160" w:after="80"/>
        <w:jc w:val="left"/>
      </w:pPr>
      <w:r>
        <w:rPr>
          <w:rFonts w:ascii="Calibri" w:hAnsi="Calibri"/>
          <w:b/>
          <w:i w:val="0"/>
          <w:color w:val="1F4E79"/>
          <w:sz w:val="24"/>
          <w:u w:val="none"/>
        </w:rPr>
        <w:t>Standards Alignment</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1728"/>
            <w:shd w:fill="1F4E79" w:val="clear"/>
          </w:tcPr>
          <w:p>
            <w:pPr>
              <w:jc w:val="center"/>
            </w:pPr>
            <w:r/>
            <w:r>
              <w:rPr>
                <w:rFonts w:ascii="Calibri" w:hAnsi="Calibri"/>
                <w:b/>
                <w:i w:val="0"/>
                <w:color w:val="FFFFFF"/>
                <w:sz w:val="22"/>
                <w:u w:val="none"/>
              </w:rPr>
              <w:t>PE</w:t>
            </w:r>
          </w:p>
        </w:tc>
        <w:tc>
          <w:tcPr>
            <w:tcW w:type="dxa" w:w="2880"/>
            <w:shd w:fill="1F4E79" w:val="clear"/>
          </w:tcPr>
          <w:p>
            <w:pPr>
              <w:jc w:val="center"/>
            </w:pPr>
            <w:r/>
            <w:r>
              <w:rPr>
                <w:rFonts w:ascii="Calibri" w:hAnsi="Calibri"/>
                <w:b/>
                <w:i w:val="0"/>
                <w:color w:val="FFFFFF"/>
                <w:sz w:val="22"/>
                <w:u w:val="none"/>
              </w:rPr>
              <w:t>SEP</w:t>
            </w:r>
          </w:p>
        </w:tc>
        <w:tc>
          <w:tcPr>
            <w:tcW w:type="dxa" w:w="2160"/>
            <w:shd w:fill="1F4E79" w:val="clear"/>
          </w:tcPr>
          <w:p>
            <w:pPr>
              <w:jc w:val="center"/>
            </w:pPr>
            <w:r/>
            <w:r>
              <w:rPr>
                <w:rFonts w:ascii="Calibri" w:hAnsi="Calibri"/>
                <w:b/>
                <w:i w:val="0"/>
                <w:color w:val="FFFFFF"/>
                <w:sz w:val="22"/>
                <w:u w:val="none"/>
              </w:rPr>
              <w:t>CCC</w:t>
            </w:r>
          </w:p>
        </w:tc>
        <w:tc>
          <w:tcPr>
            <w:tcW w:type="dxa" w:w="3600"/>
            <w:shd w:fill="1F4E79" w:val="clear"/>
          </w:tcPr>
          <w:p>
            <w:pPr>
              <w:jc w:val="center"/>
            </w:pPr>
            <w:r/>
            <w:r>
              <w:rPr>
                <w:rFonts w:ascii="Calibri" w:hAnsi="Calibri"/>
                <w:b/>
                <w:i w:val="0"/>
                <w:color w:val="FFFFFF"/>
                <w:sz w:val="22"/>
                <w:u w:val="none"/>
              </w:rPr>
              <w:t>DCI</w:t>
            </w:r>
          </w:p>
        </w:tc>
      </w:tr>
      <w:tr>
        <w:tc>
          <w:tcPr>
            <w:tcW w:type="dxa" w:w="1728"/>
          </w:tcPr>
          <w:p>
            <w:r/>
            <w:r>
              <w:rPr>
                <w:rFonts w:ascii="Calibri" w:hAnsi="Calibri"/>
                <w:b w:val="0"/>
                <w:i w:val="0"/>
                <w:color w:val="000000"/>
                <w:sz w:val="22"/>
                <w:u w:val="none"/>
              </w:rPr>
              <w:t>HS-PS2-1</w:t>
            </w:r>
          </w:p>
        </w:tc>
        <w:tc>
          <w:tcPr>
            <w:tcW w:type="dxa" w:w="2880"/>
          </w:tcPr>
          <w:p>
            <w:r/>
            <w:r>
              <w:rPr>
                <w:rFonts w:ascii="Calibri" w:hAnsi="Calibri"/>
                <w:b w:val="0"/>
                <w:i w:val="0"/>
                <w:color w:val="000000"/>
                <w:sz w:val="22"/>
                <w:u w:val="none"/>
              </w:rPr>
              <w:t>Developing and Using Models</w:t>
              <w:br/>
              <w:t>Using Mathematics and Computational Thinking</w:t>
            </w:r>
          </w:p>
        </w:tc>
        <w:tc>
          <w:tcPr>
            <w:tcW w:type="dxa" w:w="2160"/>
          </w:tcPr>
          <w:p>
            <w:r/>
            <w:r>
              <w:rPr>
                <w:rFonts w:ascii="Calibri" w:hAnsi="Calibri"/>
                <w:b w:val="0"/>
                <w:i w:val="0"/>
                <w:color w:val="000000"/>
                <w:sz w:val="22"/>
                <w:u w:val="none"/>
              </w:rPr>
              <w:t>Cause and Effect</w:t>
              <w:br/>
              <w:t>Systems and System Models</w:t>
            </w:r>
          </w:p>
        </w:tc>
        <w:tc>
          <w:tcPr>
            <w:tcW w:type="dxa" w:w="3600"/>
          </w:tcPr>
          <w:p>
            <w:r/>
            <w:r>
              <w:rPr>
                <w:rFonts w:ascii="Calibri" w:hAnsi="Calibri"/>
                <w:b w:val="0"/>
                <w:i w:val="0"/>
                <w:color w:val="000000"/>
                <w:sz w:val="22"/>
                <w:u w:val="none"/>
              </w:rPr>
              <w:t>PS2.A: Forces and Motion</w:t>
            </w:r>
          </w:p>
        </w:tc>
      </w:tr>
    </w:tbl>
    <w:p/>
    <w:p>
      <w:pPr>
        <w:spacing w:before="160" w:after="80"/>
        <w:jc w:val="left"/>
      </w:pPr>
      <w:r>
        <w:rPr>
          <w:rFonts w:ascii="Calibri" w:hAnsi="Calibri"/>
          <w:b/>
          <w:i w:val="0"/>
          <w:color w:val="1F4E79"/>
          <w:sz w:val="24"/>
          <w:u w:val="none"/>
        </w:rPr>
        <w:t>Materials &amp; Preparation</w:t>
      </w:r>
    </w:p>
    <w:p>
      <w:pPr>
        <w:pStyle w:val="ListBullet"/>
        <w:spacing w:before="20" w:after="20"/>
      </w:pPr>
      <w:r>
        <w:rPr>
          <w:rFonts w:ascii="Calibri" w:hAnsi="Calibri"/>
          <w:b w:val="0"/>
          <w:i w:val="0"/>
          <w:color w:val="000000"/>
          <w:sz w:val="22"/>
          <w:u w:val="none"/>
        </w:rPr>
        <w:t>Small masses on strings (1 per student, for safe spinning)</w:t>
      </w:r>
    </w:p>
    <w:p>
      <w:pPr>
        <w:pStyle w:val="ListBullet"/>
        <w:spacing w:before="20" w:after="20"/>
      </w:pPr>
      <w:r>
        <w:rPr>
          <w:rFonts w:ascii="Calibri" w:hAnsi="Calibri"/>
          <w:b w:val="0"/>
          <w:i w:val="0"/>
          <w:color w:val="000000"/>
          <w:sz w:val="22"/>
          <w:u w:val="none"/>
        </w:rPr>
        <w:t>Rubber stoppers and glass tubes for centripetal force apparatus (1 per group)</w:t>
      </w:r>
    </w:p>
    <w:p>
      <w:pPr>
        <w:pStyle w:val="ListBullet"/>
        <w:spacing w:before="20" w:after="20"/>
      </w:pPr>
      <w:r>
        <w:rPr>
          <w:rFonts w:ascii="Calibri" w:hAnsi="Calibri"/>
          <w:b w:val="0"/>
          <w:i w:val="0"/>
          <w:color w:val="000000"/>
          <w:sz w:val="22"/>
          <w:u w:val="none"/>
        </w:rPr>
        <w:t>Stopwatches</w:t>
      </w:r>
    </w:p>
    <w:p>
      <w:pPr>
        <w:pStyle w:val="ListBullet"/>
        <w:spacing w:before="20" w:after="20"/>
      </w:pPr>
      <w:r>
        <w:rPr>
          <w:rFonts w:ascii="Calibri" w:hAnsi="Calibri"/>
          <w:b w:val="0"/>
          <w:i w:val="0"/>
          <w:color w:val="000000"/>
          <w:sz w:val="22"/>
          <w:u w:val="none"/>
        </w:rPr>
        <w:t>Meter sticks</w:t>
      </w:r>
    </w:p>
    <w:p>
      <w:pPr>
        <w:pStyle w:val="ListBullet"/>
        <w:spacing w:before="20" w:after="20"/>
      </w:pPr>
      <w:r>
        <w:rPr>
          <w:rFonts w:ascii="Calibri" w:hAnsi="Calibri"/>
          <w:b w:val="0"/>
          <w:i w:val="0"/>
          <w:color w:val="000000"/>
          <w:sz w:val="22"/>
          <w:u w:val="none"/>
        </w:rPr>
        <w:t>Scientific calculators</w:t>
      </w:r>
    </w:p>
    <w:p>
      <w:pPr>
        <w:pStyle w:val="ListBullet"/>
        <w:spacing w:before="20" w:after="20"/>
      </w:pPr>
      <w:r>
        <w:rPr>
          <w:rFonts w:ascii="Calibri" w:hAnsi="Calibri"/>
          <w:b w:val="0"/>
          <w:i w:val="0"/>
          <w:color w:val="000000"/>
          <w:sz w:val="22"/>
          <w:u w:val="none"/>
        </w:rPr>
        <w:t>Physics Reference Table (NYSED)</w:t>
      </w:r>
    </w:p>
    <w:p>
      <w:pPr>
        <w:spacing w:before="160" w:after="80"/>
        <w:jc w:val="left"/>
      </w:pPr>
      <w:r>
        <w:rPr>
          <w:rFonts w:ascii="Calibri" w:hAnsi="Calibri"/>
          <w:b/>
          <w:i w:val="0"/>
          <w:color w:val="1F4E79"/>
          <w:sz w:val="24"/>
          <w:u w:val="none"/>
        </w:rPr>
        <w:t>5E Instructional Sequence</w:t>
      </w:r>
    </w:p>
    <w:p>
      <w:pPr>
        <w:spacing w:before="80" w:after="40"/>
      </w:pPr>
      <w:r>
        <w:rPr>
          <w:rFonts w:ascii="Calibri" w:hAnsi="Calibri"/>
          <w:b/>
          <w:i w:val="0"/>
          <w:color w:val="1F4E79"/>
          <w:sz w:val="22"/>
          <w:u w:val="none"/>
        </w:rPr>
        <w:t xml:space="preserve">Engage (5 min): </w:t>
      </w:r>
      <w:r>
        <w:rPr>
          <w:rFonts w:ascii="Calibri" w:hAnsi="Calibri"/>
          <w:b w:val="0"/>
          <w:i w:val="0"/>
          <w:color w:val="000000"/>
          <w:sz w:val="22"/>
          <w:u w:val="none"/>
        </w:rPr>
        <w:t>Anchoring phenomenon presentation. Students record initial observations and questions. Topic focus: Circular Motion and Centripetal Force. Show a video of a car making a sharp turn — a coffee cup on the dashboard slides to the outside of the turn. Ask: What force pushes the cup outward? (Trick question — no force pushes it outward! The cup continues in a straight line due to inertia while the car turns underneath it. The cup appears to slide outward from the car's frame of reference.) This challenges the common 'centrifugal force' misconception.</w:t>
      </w:r>
    </w:p>
    <w:p>
      <w:pPr>
        <w:spacing w:before="80" w:after="40"/>
      </w:pPr>
      <w:r>
        <w:rPr>
          <w:rFonts w:ascii="Calibri" w:hAnsi="Calibri"/>
          <w:b/>
          <w:i w:val="0"/>
          <w:color w:val="1F4E79"/>
          <w:sz w:val="22"/>
          <w:u w:val="none"/>
        </w:rPr>
        <w:t xml:space="preserve">Explore (12 min): </w:t>
      </w:r>
      <w:r>
        <w:rPr>
          <w:rFonts w:ascii="Calibri" w:hAnsi="Calibri"/>
          <w:b w:val="0"/>
          <w:i w:val="0"/>
          <w:color w:val="000000"/>
          <w:sz w:val="22"/>
          <w:u w:val="none"/>
        </w:rPr>
        <w:t>Guided discovery activity — students investigate the concept through hands-on work. Topic focus: Circular Motion and Centripetal Force. Lab activity: Students swing a rubber stopper in a horizontal circle using the centripetal force apparatus (stopper on string through a glass tube, with hanging masses providing the centripetal force). They vary the radius (string length) and the speed (number of revolutions per time) and observe how the hanging mass needed to maintain circular motion changes. Students record data on force, radius, and period.</w:t>
      </w:r>
    </w:p>
    <w:p>
      <w:pPr>
        <w:spacing w:before="80" w:after="40"/>
      </w:pPr>
      <w:r>
        <w:rPr>
          <w:rFonts w:ascii="Calibri" w:hAnsi="Calibri"/>
          <w:b/>
          <w:i w:val="0"/>
          <w:color w:val="1F4E79"/>
          <w:sz w:val="22"/>
          <w:u w:val="none"/>
        </w:rPr>
        <w:t xml:space="preserve">Explain (8 min): </w:t>
      </w:r>
      <w:r>
        <w:rPr>
          <w:rFonts w:ascii="Calibri" w:hAnsi="Calibri"/>
          <w:b w:val="0"/>
          <w:i w:val="0"/>
          <w:color w:val="000000"/>
          <w:sz w:val="22"/>
          <w:u w:val="none"/>
        </w:rPr>
        <w:t>Direct instruction introducing core vocabulary, principles, and relationships. Topic focus: Circular Motion and Centripetal Force. Define centripetal acceleration: ac = v^2/r, always directed toward the center of the circle. Centripetal force: Fc = mac = mv^2/r, also toward the center. Emphasize: centripetal force is not a new type of force — it is the name for whatever force provides the center-directed acceleration (tension, gravity, friction, normal force). Examples: the Moon orbits Earth (gravity is centripetal force), a car turns (friction is centripetal force), a ball on a string (tension is centripetal force).</w:t>
      </w:r>
    </w:p>
    <w:p>
      <w:pPr>
        <w:spacing w:before="80" w:after="40"/>
      </w:pPr>
      <w:r>
        <w:rPr>
          <w:rFonts w:ascii="Calibri" w:hAnsi="Calibri"/>
          <w:b/>
          <w:i w:val="0"/>
          <w:color w:val="1F4E79"/>
          <w:sz w:val="22"/>
          <w:u w:val="none"/>
        </w:rPr>
        <w:t xml:space="preserve">Elaborate (7 min): </w:t>
      </w:r>
      <w:r>
        <w:rPr>
          <w:rFonts w:ascii="Calibri" w:hAnsi="Calibri"/>
          <w:b w:val="0"/>
          <w:i w:val="0"/>
          <w:color w:val="000000"/>
          <w:sz w:val="22"/>
          <w:u w:val="none"/>
        </w:rPr>
        <w:t>Hochman writing activity using new vocabulary in Because/But/So sentences. Topic focus: Circular Motion and Centripetal Force. Problem: A 1000 kg car makes a turn on a flat road with radius 50 m at 15 m/s. (a) What centripetal acceleration does the car experience? (b) What centripetal force is needed? (c) What provides this force? (friction) (d) What is the minimum coefficient of friction needed? Students solve and discuss what happens if mu is too low (the car skids outward).</w:t>
      </w:r>
    </w:p>
    <w:p>
      <w:pPr>
        <w:spacing w:before="80" w:after="40"/>
      </w:pPr>
      <w:r>
        <w:rPr>
          <w:rFonts w:ascii="Calibri" w:hAnsi="Calibri"/>
          <w:b/>
          <w:i w:val="0"/>
          <w:color w:val="1F4E79"/>
          <w:sz w:val="22"/>
          <w:u w:val="none"/>
        </w:rPr>
        <w:t xml:space="preserve">Evaluate (3 min): </w:t>
      </w:r>
      <w:r>
        <w:rPr>
          <w:rFonts w:ascii="Calibri" w:hAnsi="Calibri"/>
          <w:b w:val="0"/>
          <w:i w:val="0"/>
          <w:color w:val="000000"/>
          <w:sz w:val="22"/>
          <w:u w:val="none"/>
        </w:rPr>
        <w:t>Exit ticket — match terms to definitions, identify key relationships. Topic focus: Circular Motion and Centripetal Force. Exit ticket: A 0.50 kg ball on a 1.2 m string is swung in a horizontal circle at 4.0 m/s. (a) What is the centripetal acceleration? (b) What is the tension in the string (centripetal force)? (c) If the string breaks, describe the path of the ball.</w:t>
      </w:r>
    </w:p>
    <w:p/>
    <w:p>
      <w:pPr>
        <w:spacing w:before="160" w:after="80"/>
        <w:jc w:val="left"/>
      </w:pPr>
      <w:r>
        <w:rPr>
          <w:rFonts w:ascii="Calibri" w:hAnsi="Calibri"/>
          <w:b/>
          <w:i w:val="0"/>
          <w:color w:val="1F4E79"/>
          <w:sz w:val="24"/>
          <w:u w:val="none"/>
        </w:rPr>
        <w:t>Differentiation</w:t>
      </w:r>
    </w:p>
    <w:tbl>
      <w:tblPr>
        <w:tblStyle w:val="TableGrid"/>
        <w:tblW w:type="auto" w:w="0"/>
        <w:jc w:val="center"/>
        <w:tblLook w:firstColumn="1" w:firstRow="1" w:lastColumn="0" w:lastRow="0" w:noHBand="0" w:noVBand="1" w:val="04A0"/>
      </w:tblPr>
      <w:tblGrid>
        <w:gridCol w:w="5040"/>
        <w:gridCol w:w="5040"/>
      </w:tblGrid>
      <w:tr>
        <w:tc>
          <w:tcPr>
            <w:tcW w:type="dxa" w:w="2160"/>
            <w:shd w:fill="1F4E79" w:val="clear"/>
          </w:tcPr>
          <w:p>
            <w:pPr>
              <w:jc w:val="center"/>
            </w:pPr>
            <w:r/>
            <w:r>
              <w:rPr>
                <w:rFonts w:ascii="Calibri" w:hAnsi="Calibri"/>
                <w:b/>
                <w:i w:val="0"/>
                <w:color w:val="FFFFFF"/>
                <w:sz w:val="22"/>
                <w:u w:val="none"/>
              </w:rPr>
              <w:t>Level</w:t>
            </w:r>
          </w:p>
        </w:tc>
        <w:tc>
          <w:tcPr>
            <w:tcW w:type="dxa" w:w="7920"/>
            <w:shd w:fill="1F4E79" w:val="clear"/>
          </w:tcPr>
          <w:p>
            <w:pPr>
              <w:jc w:val="center"/>
            </w:pPr>
            <w:r/>
            <w:r>
              <w:rPr>
                <w:rFonts w:ascii="Calibri" w:hAnsi="Calibri"/>
                <w:b/>
                <w:i w:val="0"/>
                <w:color w:val="FFFFFF"/>
                <w:sz w:val="22"/>
                <w:u w:val="none"/>
              </w:rPr>
              <w:t>Accommodations / Modifications</w:t>
            </w:r>
          </w:p>
        </w:tc>
      </w:tr>
      <w:tr>
        <w:tc>
          <w:tcPr>
            <w:tcW w:type="dxa" w:w="2160"/>
          </w:tcPr>
          <w:p>
            <w:r/>
            <w:r>
              <w:rPr>
                <w:rFonts w:ascii="Calibri" w:hAnsi="Calibri"/>
                <w:b w:val="0"/>
                <w:i w:val="0"/>
                <w:color w:val="000000"/>
                <w:sz w:val="22"/>
                <w:u w:val="none"/>
              </w:rPr>
              <w:t>Approaching</w:t>
            </w:r>
          </w:p>
        </w:tc>
        <w:tc>
          <w:tcPr>
            <w:tcW w:type="dxa" w:w="7920"/>
          </w:tcPr>
          <w:p>
            <w:r/>
            <w:r>
              <w:rPr>
                <w:rFonts w:ascii="Calibri" w:hAnsi="Calibri"/>
                <w:b w:val="0"/>
                <w:i w:val="0"/>
                <w:color w:val="000000"/>
                <w:sz w:val="22"/>
                <w:u w:val="none"/>
              </w:rPr>
              <w:t>Provide a circular motion reference card: 'Centripetal = toward center. Centrifugal = not real (just inertia).' Include the formulas ac = v^2/r and Fc = mv^2/r with labeled diagrams. Pre-identify the centripetal force in each example.</w:t>
            </w:r>
          </w:p>
        </w:tc>
      </w:tr>
      <w:tr>
        <w:tc>
          <w:tcPr>
            <w:tcW w:type="dxa" w:w="2160"/>
            <w:shd w:fill="F2F2F2" w:val="clear"/>
          </w:tcPr>
          <w:p>
            <w:r/>
            <w:r>
              <w:rPr>
                <w:rFonts w:ascii="Calibri" w:hAnsi="Calibri"/>
                <w:b w:val="0"/>
                <w:i w:val="0"/>
                <w:color w:val="000000"/>
                <w:sz w:val="22"/>
                <w:u w:val="none"/>
              </w:rPr>
              <w:t>On-Level</w:t>
            </w:r>
          </w:p>
        </w:tc>
        <w:tc>
          <w:tcPr>
            <w:tcW w:type="dxa" w:w="7920"/>
            <w:shd w:fill="F2F2F2" w:val="clear"/>
          </w:tcPr>
          <w:p>
            <w:r/>
            <w:r>
              <w:rPr>
                <w:rFonts w:ascii="Calibri" w:hAnsi="Calibri"/>
                <w:b w:val="0"/>
                <w:i w:val="0"/>
                <w:color w:val="000000"/>
                <w:sz w:val="22"/>
                <w:u w:val="none"/>
              </w:rPr>
              <w:t>Complete the centripetal force lab and calculation problems as designed.</w:t>
            </w:r>
          </w:p>
        </w:tc>
      </w:tr>
      <w:tr>
        <w:tc>
          <w:tcPr>
            <w:tcW w:type="dxa" w:w="2160"/>
          </w:tcPr>
          <w:p>
            <w:r/>
            <w:r>
              <w:rPr>
                <w:rFonts w:ascii="Calibri" w:hAnsi="Calibri"/>
                <w:b w:val="0"/>
                <w:i w:val="0"/>
                <w:color w:val="000000"/>
                <w:sz w:val="22"/>
                <w:u w:val="none"/>
              </w:rPr>
              <w:t>Advanced</w:t>
            </w:r>
          </w:p>
        </w:tc>
        <w:tc>
          <w:tcPr>
            <w:tcW w:type="dxa" w:w="7920"/>
          </w:tcPr>
          <w:p>
            <w:r/>
            <w:r>
              <w:rPr>
                <w:rFonts w:ascii="Calibri" w:hAnsi="Calibri"/>
                <w:b w:val="0"/>
                <w:i w:val="0"/>
                <w:color w:val="000000"/>
                <w:sz w:val="22"/>
                <w:u w:val="none"/>
              </w:rPr>
              <w:t>Analyze the forces on a car going over a hill (reduced normal force) and through a valley (increased normal force). Calculate the speed at which a car would become airborne at the top of a hill of known radius.</w:t>
            </w:r>
          </w:p>
        </w:tc>
      </w:tr>
      <w:tr>
        <w:tc>
          <w:tcPr>
            <w:tcW w:type="dxa" w:w="2160"/>
            <w:shd w:fill="F2F2F2" w:val="clear"/>
          </w:tcPr>
          <w:p>
            <w:r/>
            <w:r>
              <w:rPr>
                <w:rFonts w:ascii="Calibri" w:hAnsi="Calibri"/>
                <w:b w:val="0"/>
                <w:i w:val="0"/>
                <w:color w:val="000000"/>
                <w:sz w:val="22"/>
                <w:u w:val="none"/>
              </w:rPr>
              <w:t>ELL</w:t>
            </w:r>
          </w:p>
        </w:tc>
        <w:tc>
          <w:tcPr>
            <w:tcW w:type="dxa" w:w="7920"/>
            <w:shd w:fill="F2F2F2" w:val="clear"/>
          </w:tcPr>
          <w:p>
            <w:r/>
            <w:r>
              <w:rPr>
                <w:rFonts w:ascii="Calibri" w:hAnsi="Calibri"/>
                <w:b w:val="0"/>
                <w:i w:val="0"/>
                <w:color w:val="000000"/>
                <w:sz w:val="22"/>
                <w:u w:val="none"/>
              </w:rPr>
              <w:t>Use the physical spinning activity extensively. Provide diagrams with arrows showing the direction of velocity (tangent), acceleration (toward center), and the force providing centripetal acceleration. Label all diagrams bilingually.</w:t>
            </w:r>
          </w:p>
        </w:tc>
      </w:tr>
      <w:tr>
        <w:tc>
          <w:tcPr>
            <w:tcW w:type="dxa" w:w="2160"/>
          </w:tcPr>
          <w:p>
            <w:r/>
            <w:r>
              <w:rPr>
                <w:rFonts w:ascii="Calibri" w:hAnsi="Calibri"/>
                <w:b w:val="0"/>
                <w:i w:val="0"/>
                <w:color w:val="000000"/>
                <w:sz w:val="22"/>
                <w:u w:val="none"/>
              </w:rPr>
              <w:t>IEP</w:t>
            </w:r>
          </w:p>
        </w:tc>
        <w:tc>
          <w:tcPr>
            <w:tcW w:type="dxa" w:w="7920"/>
          </w:tcPr>
          <w:p>
            <w:r/>
            <w:r>
              <w:rPr>
                <w:rFonts w:ascii="Calibri" w:hAnsi="Calibri"/>
                <w:b w:val="0"/>
                <w:i w:val="0"/>
                <w:color w:val="000000"/>
                <w:sz w:val="22"/>
                <w:u w:val="none"/>
              </w:rPr>
              <w:t>Focus on the concept that centripetal force always points toward the center. Provide a simplified formula card. Break problems into: 'Step 1: Identify the center. Step 2: Identify what force points toward the center. Step 3: Calculate using Fc = mv^2/r.' Reduce practice problems.</w:t>
            </w:r>
          </w:p>
        </w:tc>
      </w:tr>
    </w:tbl>
    <w:p/>
    <w:p>
      <w:pPr>
        <w:spacing w:before="160" w:after="80"/>
        <w:jc w:val="left"/>
      </w:pPr>
      <w:r>
        <w:rPr>
          <w:rFonts w:ascii="Calibri" w:hAnsi="Calibri"/>
          <w:b/>
          <w:i w:val="0"/>
          <w:color w:val="1F4E79"/>
          <w:sz w:val="24"/>
          <w:u w:val="none"/>
        </w:rPr>
        <w:t>CRSE Connections</w:t>
      </w:r>
    </w:p>
    <w:p>
      <w:pPr>
        <w:spacing w:before="80" w:after="80"/>
        <w:shd w:fill="E2EFDA" w:val="clear"/>
      </w:pPr>
      <w:r>
        <w:rPr>
          <w:rFonts w:ascii="Calibri" w:hAnsi="Calibri"/>
          <w:b/>
          <w:i w:val="0"/>
          <w:color w:val="1F4E79"/>
          <w:sz w:val="22"/>
          <w:u w:val="none"/>
        </w:rPr>
        <w:t xml:space="preserve">Culturally Responsive-Sustaining Education: </w:t>
      </w:r>
      <w:r>
        <w:rPr>
          <w:rFonts w:ascii="Calibri" w:hAnsi="Calibri"/>
          <w:b w:val="0"/>
          <w:i w:val="0"/>
          <w:color w:val="000000"/>
          <w:sz w:val="22"/>
          <w:u w:val="none"/>
        </w:rPr>
        <w:t>Explore the physics of centrifuges, which are critical in medical laboratories for separating blood components. Discuss how access to centrifuge technology in clinics serving underserved communities — and the physics-based innovation of hand-powered 'paperfuge' centrifuges developed for low-resource settings — can improve healthcare equity.</w:t>
      </w:r>
    </w:p>
    <w:p>
      <w:pPr>
        <w:spacing w:before="160" w:after="80"/>
        <w:jc w:val="left"/>
      </w:pPr>
      <w:r>
        <w:rPr>
          <w:rFonts w:ascii="Calibri" w:hAnsi="Calibri"/>
          <w:b/>
          <w:i w:val="0"/>
          <w:color w:val="1F4E79"/>
          <w:sz w:val="24"/>
          <w:u w:val="none"/>
        </w:rPr>
        <w:t>Suggested Hochman Writing Activity</w:t>
      </w:r>
    </w:p>
    <w:p>
      <w:pPr>
        <w:spacing w:before="80" w:after="80"/>
        <w:shd w:fill="D6E4F0" w:val="clear"/>
      </w:pPr>
      <w:r>
        <w:rPr>
          <w:rFonts w:ascii="Calibri" w:hAnsi="Calibri"/>
          <w:b/>
          <w:i w:val="0"/>
          <w:color w:val="1F4E79"/>
          <w:sz w:val="22"/>
          <w:u w:val="none"/>
        </w:rPr>
        <w:t xml:space="preserve">Suggested Literacy Activity: </w:t>
      </w:r>
      <w:r>
        <w:rPr>
          <w:rFonts w:ascii="Calibri" w:hAnsi="Calibri"/>
          <w:b w:val="0"/>
          <w:i w:val="0"/>
          <w:color w:val="000000"/>
          <w:sz w:val="22"/>
          <w:u w:val="none"/>
        </w:rPr>
        <w:t>Because/But/So sentences using 'centripetal': An object moving in a circle is accelerating because___. People often say they feel pushed outward on a spinning ride, but there is no outward force acting on them because___. The car entered the turn too fast for the available friction, so___.</w:t>
      </w:r>
    </w:p>
    <w:sectPr w:rsidR="00FC693F" w:rsidRPr="0006063C" w:rsidSect="00034616">
      <w:footerReference w:type="default" r:id="rId9"/>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1F4E79"/>
        <w:sz w:val="18"/>
      </w:rPr>
      <w:t>Valley Stream Central High School District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