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7: Newton's Third Law and Action-Reaction Pairs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Newton's Third Law in Collisions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2000 kg SUV collides head-on with a 800 kg compact car. Both drivers report different experiences: the compact car driver is severely injured while the SUV driver walks away with minor bruises. A common misconception is that the SUV exerted a greater force on the compact car than the compact car exerted on the SUV.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Newton's Third Law, I claim that both vehicles experience the same magnitude of force during the collision, but the outcomes differ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Apply Newton's Third Law to identify the forces and Newton's Second Law (a = F/m) to calculate the acceleration experienced by each vehicle during the collision.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Newton's Third Law guarantees the forces are ___, but since the compact car has a ___ mass, it experiences a ___ acceleration (and deceleration), which results in greater injury risk. This is why vehicle safety standards consider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