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Unit 3: Newton's Laws &amp; Forces</w:t>
      </w:r>
    </w:p>
    <w:p>
      <w:pPr>
        <w:spacing w:before="0" w:after="160"/>
        <w:jc w:val="center"/>
      </w:pPr>
      <w:r>
        <w:rPr>
          <w:rFonts w:ascii="Calibri" w:hAnsi="Calibri"/>
          <w:b w:val="0"/>
          <w:i/>
          <w:color w:val="1F4E79"/>
          <w:sz w:val="22"/>
          <w:u w:val="none"/>
        </w:rPr>
        <w:t>Duration: 21 days  |  Performance Expectations: HS-PS2-1, HS-PS2-2</w:t>
      </w:r>
    </w:p>
    <w:p>
      <w:pPr>
        <w:spacing w:before="40" w:after="40"/>
        <w:pBdr>
          <w:bottom w:val="single" w:sz="4" w:space="1" w:color="1F4E79"/>
        </w:pBdr>
      </w:pPr>
    </w:p>
    <w:p>
      <w:pPr>
        <w:spacing w:before="160" w:after="80"/>
        <w:jc w:val="left"/>
      </w:pPr>
      <w:r>
        <w:rPr>
          <w:rFonts w:ascii="Calibri" w:hAnsi="Calibri"/>
          <w:b/>
          <w:i w:val="0"/>
          <w:color w:val="1F4E79"/>
          <w:sz w:val="24"/>
          <w:u w:val="none"/>
        </w:rPr>
        <w:t>Anchoring Phenomenon</w:t>
      </w:r>
    </w:p>
    <w:p>
      <w:pPr>
        <w:spacing w:before="80" w:after="80"/>
        <w:shd w:fill="D6E4F0" w:val="clear"/>
      </w:pPr>
      <w:r>
        <w:rPr>
          <w:rFonts w:ascii="Calibri" w:hAnsi="Calibri"/>
          <w:b/>
          <w:i w:val="0"/>
          <w:color w:val="1F4E79"/>
          <w:sz w:val="22"/>
          <w:u w:val="none"/>
        </w:rPr>
        <w:t xml:space="preserve">Phenomenon: </w:t>
      </w:r>
      <w:r>
        <w:rPr>
          <w:rFonts w:ascii="Calibri" w:hAnsi="Calibri"/>
          <w:b w:val="0"/>
          <w:i w:val="0"/>
          <w:color w:val="000000"/>
          <w:sz w:val="22"/>
          <w:u w:val="none"/>
        </w:rPr>
        <w:t>When a city bus brakes suddenly, standing passengers lurch forward even though no one pushes them. Meanwhile, a heavy backpack on the seat slides forward and hits the seat in front. Why do objects of different masses respond differently to the same braking event?</w:t>
      </w:r>
    </w:p>
    <w:p>
      <w:pPr>
        <w:spacing w:before="160" w:after="80"/>
        <w:jc w:val="left"/>
      </w:pPr>
      <w:r>
        <w:rPr>
          <w:rFonts w:ascii="Calibri" w:hAnsi="Calibri"/>
          <w:b/>
          <w:i w:val="0"/>
          <w:color w:val="1F4E79"/>
          <w:sz w:val="24"/>
          <w:u w:val="none"/>
        </w:rPr>
        <w:t>Essential Questions</w:t>
      </w:r>
    </w:p>
    <w:p>
      <w:pPr>
        <w:pStyle w:val="ListBullet"/>
        <w:spacing w:before="20" w:after="20"/>
      </w:pPr>
      <w:r>
        <w:rPr>
          <w:rFonts w:ascii="Calibri" w:hAnsi="Calibri"/>
          <w:b w:val="0"/>
          <w:i w:val="0"/>
          <w:color w:val="000000"/>
          <w:sz w:val="22"/>
          <w:u w:val="none"/>
        </w:rPr>
        <w:t>How do forces change the motion of objects?</w:t>
      </w:r>
    </w:p>
    <w:p>
      <w:pPr>
        <w:pStyle w:val="ListBullet"/>
        <w:spacing w:before="20" w:after="20"/>
      </w:pPr>
      <w:r>
        <w:rPr>
          <w:rFonts w:ascii="Calibri" w:hAnsi="Calibri"/>
          <w:b w:val="0"/>
          <w:i w:val="0"/>
          <w:color w:val="000000"/>
          <w:sz w:val="22"/>
          <w:u w:val="none"/>
        </w:rPr>
        <w:t>How can we use free body diagrams to predict an object's acceleration?</w:t>
      </w:r>
    </w:p>
    <w:p>
      <w:pPr>
        <w:pStyle w:val="ListBullet"/>
        <w:spacing w:before="20" w:after="20"/>
      </w:pPr>
      <w:r>
        <w:rPr>
          <w:rFonts w:ascii="Calibri" w:hAnsi="Calibri"/>
          <w:b w:val="0"/>
          <w:i w:val="0"/>
          <w:color w:val="000000"/>
          <w:sz w:val="22"/>
          <w:u w:val="none"/>
        </w:rPr>
        <w:t>What keeps objects moving in a circle, and what happens when that force disappears?</w:t>
      </w:r>
    </w:p>
    <w:p>
      <w:pPr>
        <w:spacing w:before="160" w:after="80"/>
        <w:jc w:val="left"/>
      </w:pPr>
      <w:r>
        <w:rPr>
          <w:rFonts w:ascii="Calibri" w:hAnsi="Calibri"/>
          <w:b/>
          <w:i w:val="0"/>
          <w:color w:val="1F4E79"/>
          <w:sz w:val="24"/>
          <w:u w:val="none"/>
        </w:rPr>
        <w:t>Unit Pacing &amp;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9" w:val="clear"/>
          </w:tcPr>
          <w:p>
            <w:pPr>
              <w:jc w:val="center"/>
            </w:pPr>
            <w:r/>
            <w:r>
              <w:rPr>
                <w:rFonts w:ascii="Calibri" w:hAnsi="Calibri"/>
                <w:b/>
                <w:i w:val="0"/>
                <w:color w:val="FFFFFF"/>
                <w:sz w:val="22"/>
                <w:u w:val="none"/>
              </w:rPr>
              <w:t>Lesson #</w:t>
            </w:r>
          </w:p>
        </w:tc>
        <w:tc>
          <w:tcPr>
            <w:tcW w:type="dxa" w:w="2880"/>
            <w:shd w:fill="1F4E79" w:val="clear"/>
          </w:tcPr>
          <w:p>
            <w:pPr>
              <w:jc w:val="center"/>
            </w:pPr>
            <w:r/>
            <w:r>
              <w:rPr>
                <w:rFonts w:ascii="Calibri" w:hAnsi="Calibri"/>
                <w:b/>
                <w:i w:val="0"/>
                <w:color w:val="FFFFFF"/>
                <w:sz w:val="22"/>
                <w:u w:val="none"/>
              </w:rPr>
              <w:t>Title</w:t>
            </w:r>
          </w:p>
        </w:tc>
        <w:tc>
          <w:tcPr>
            <w:tcW w:type="dxa" w:w="864"/>
            <w:shd w:fill="1F4E79" w:val="clear"/>
          </w:tcPr>
          <w:p>
            <w:pPr>
              <w:jc w:val="center"/>
            </w:pPr>
            <w:r/>
            <w:r>
              <w:rPr>
                <w:rFonts w:ascii="Calibri" w:hAnsi="Calibri"/>
                <w:b/>
                <w:i w:val="0"/>
                <w:color w:val="FFFFFF"/>
                <w:sz w:val="22"/>
                <w:u w:val="none"/>
              </w:rPr>
              <w:t>Days</w:t>
            </w:r>
          </w:p>
        </w:tc>
        <w:tc>
          <w:tcPr>
            <w:tcW w:type="dxa" w:w="5040"/>
            <w:shd w:fill="1F4E79" w:val="clear"/>
          </w:tcPr>
          <w:p>
            <w:pPr>
              <w:jc w:val="center"/>
            </w:pPr>
            <w:r/>
            <w:r>
              <w:rPr>
                <w:rFonts w:ascii="Calibri" w:hAnsi="Calibri"/>
                <w:b/>
                <w:i w:val="0"/>
                <w:color w:val="FFFFFF"/>
                <w:sz w:val="22"/>
                <w:u w:val="none"/>
              </w:rPr>
              <w:t>Description</w:t>
            </w:r>
          </w:p>
        </w:tc>
      </w:tr>
      <w:tr>
        <w:tc>
          <w:tcPr>
            <w:tcW w:type="dxa" w:w="1008"/>
          </w:tcPr>
          <w:p>
            <w:r/>
            <w:r>
              <w:rPr>
                <w:rFonts w:ascii="Calibri" w:hAnsi="Calibri"/>
                <w:b w:val="0"/>
                <w:i w:val="0"/>
                <w:color w:val="000000"/>
                <w:sz w:val="22"/>
                <w:u w:val="none"/>
              </w:rPr>
              <w:t>1</w:t>
            </w:r>
          </w:p>
        </w:tc>
        <w:tc>
          <w:tcPr>
            <w:tcW w:type="dxa" w:w="2880"/>
          </w:tcPr>
          <w:p>
            <w:r/>
            <w:r>
              <w:rPr>
                <w:rFonts w:ascii="Calibri" w:hAnsi="Calibri"/>
                <w:b w:val="0"/>
                <w:i w:val="0"/>
                <w:color w:val="000000"/>
                <w:sz w:val="22"/>
                <w:u w:val="none"/>
              </w:rPr>
              <w:t>Newton's First Law — Inertia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explain Newton's First Law and predict the m...</w:t>
            </w:r>
          </w:p>
        </w:tc>
      </w:tr>
      <w:tr>
        <w:tc>
          <w:tcPr>
            <w:tcW w:type="dxa" w:w="1008"/>
            <w:shd w:fill="F2F2F2" w:val="clear"/>
          </w:tcPr>
          <w:p>
            <w:r/>
            <w:r>
              <w:rPr>
                <w:rFonts w:ascii="Calibri" w:hAnsi="Calibri"/>
                <w:b w:val="0"/>
                <w:i w:val="0"/>
                <w:color w:val="000000"/>
                <w:sz w:val="22"/>
                <w:u w:val="none"/>
              </w:rPr>
              <w:t>2</w:t>
            </w:r>
          </w:p>
        </w:tc>
        <w:tc>
          <w:tcPr>
            <w:tcW w:type="dxa" w:w="2880"/>
            <w:shd w:fill="F2F2F2" w:val="clear"/>
          </w:tcPr>
          <w:p>
            <w:r/>
            <w:r>
              <w:rPr>
                <w:rFonts w:ascii="Calibri" w:hAnsi="Calibri"/>
                <w:b w:val="0"/>
                <w:i w:val="0"/>
                <w:color w:val="000000"/>
                <w:sz w:val="22"/>
                <w:u w:val="none"/>
              </w:rPr>
              <w:t>Newton's First Law — Inertia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explain Newton's First Law and predict the motion o...</w:t>
            </w:r>
          </w:p>
        </w:tc>
      </w:tr>
      <w:tr>
        <w:tc>
          <w:tcPr>
            <w:tcW w:type="dxa" w:w="1008"/>
          </w:tcPr>
          <w:p>
            <w:r/>
            <w:r>
              <w:rPr>
                <w:rFonts w:ascii="Calibri" w:hAnsi="Calibri"/>
                <w:b w:val="0"/>
                <w:i w:val="0"/>
                <w:color w:val="000000"/>
                <w:sz w:val="22"/>
                <w:u w:val="none"/>
              </w:rPr>
              <w:t>3</w:t>
            </w:r>
          </w:p>
        </w:tc>
        <w:tc>
          <w:tcPr>
            <w:tcW w:type="dxa" w:w="2880"/>
          </w:tcPr>
          <w:p>
            <w:r/>
            <w:r>
              <w:rPr>
                <w:rFonts w:ascii="Calibri" w:hAnsi="Calibri"/>
                <w:b w:val="0"/>
                <w:i w:val="0"/>
                <w:color w:val="000000"/>
                <w:sz w:val="22"/>
                <w:u w:val="none"/>
              </w:rPr>
              <w:t>Newton's Second Law — F = ma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apply Newton's Second Law to calculate the n...</w:t>
            </w:r>
          </w:p>
        </w:tc>
      </w:tr>
      <w:tr>
        <w:tc>
          <w:tcPr>
            <w:tcW w:type="dxa" w:w="1008"/>
            <w:shd w:fill="F2F2F2" w:val="clear"/>
          </w:tcPr>
          <w:p>
            <w:r/>
            <w:r>
              <w:rPr>
                <w:rFonts w:ascii="Calibri" w:hAnsi="Calibri"/>
                <w:b w:val="0"/>
                <w:i w:val="0"/>
                <w:color w:val="000000"/>
                <w:sz w:val="22"/>
                <w:u w:val="none"/>
              </w:rPr>
              <w:t>4</w:t>
            </w:r>
          </w:p>
        </w:tc>
        <w:tc>
          <w:tcPr>
            <w:tcW w:type="dxa" w:w="2880"/>
            <w:shd w:fill="F2F2F2" w:val="clear"/>
          </w:tcPr>
          <w:p>
            <w:r/>
            <w:r>
              <w:rPr>
                <w:rFonts w:ascii="Calibri" w:hAnsi="Calibri"/>
                <w:b w:val="0"/>
                <w:i w:val="0"/>
                <w:color w:val="000000"/>
                <w:sz w:val="22"/>
                <w:u w:val="none"/>
              </w:rPr>
              <w:t>Newton's Second Law — F = ma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apply Newton's Second Law to calculate the net force, mass...</w:t>
            </w:r>
          </w:p>
        </w:tc>
      </w:tr>
      <w:tr>
        <w:tc>
          <w:tcPr>
            <w:tcW w:type="dxa" w:w="1008"/>
          </w:tcPr>
          <w:p>
            <w:r/>
            <w:r>
              <w:rPr>
                <w:rFonts w:ascii="Calibri" w:hAnsi="Calibri"/>
                <w:b w:val="0"/>
                <w:i w:val="0"/>
                <w:color w:val="000000"/>
                <w:sz w:val="22"/>
                <w:u w:val="none"/>
              </w:rPr>
              <w:t>5</w:t>
            </w:r>
          </w:p>
        </w:tc>
        <w:tc>
          <w:tcPr>
            <w:tcW w:type="dxa" w:w="2880"/>
          </w:tcPr>
          <w:p>
            <w:r/>
            <w:r>
              <w:rPr>
                <w:rFonts w:ascii="Calibri" w:hAnsi="Calibri"/>
                <w:b w:val="0"/>
                <w:i w:val="0"/>
                <w:color w:val="000000"/>
                <w:sz w:val="22"/>
                <w:u w:val="none"/>
              </w:rPr>
              <w:t>Newton's Second Law — F = ma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apply Newton's Second Law to calculate the net f...</w:t>
            </w:r>
          </w:p>
        </w:tc>
      </w:tr>
      <w:tr>
        <w:tc>
          <w:tcPr>
            <w:tcW w:type="dxa" w:w="1008"/>
            <w:shd w:fill="F2F2F2" w:val="clear"/>
          </w:tcPr>
          <w:p>
            <w:r/>
            <w:r>
              <w:rPr>
                <w:rFonts w:ascii="Calibri" w:hAnsi="Calibri"/>
                <w:b w:val="0"/>
                <w:i w:val="0"/>
                <w:color w:val="000000"/>
                <w:sz w:val="22"/>
                <w:u w:val="none"/>
              </w:rPr>
              <w:t>6</w:t>
            </w:r>
          </w:p>
        </w:tc>
        <w:tc>
          <w:tcPr>
            <w:tcW w:type="dxa" w:w="2880"/>
            <w:shd w:fill="F2F2F2" w:val="clear"/>
          </w:tcPr>
          <w:p>
            <w:r/>
            <w:r>
              <w:rPr>
                <w:rFonts w:ascii="Calibri" w:hAnsi="Calibri"/>
                <w:b w:val="0"/>
                <w:i w:val="0"/>
                <w:color w:val="000000"/>
                <w:sz w:val="22"/>
                <w:u w:val="none"/>
              </w:rPr>
              <w:t>Newton's Third Law and Action-Reaction Pairs (Day 1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identify key concepts related to: identify Newton's Third Law action-reaction ...</w:t>
            </w:r>
          </w:p>
        </w:tc>
      </w:tr>
      <w:tr>
        <w:tc>
          <w:tcPr>
            <w:tcW w:type="dxa" w:w="1008"/>
          </w:tcPr>
          <w:p>
            <w:r/>
            <w:r>
              <w:rPr>
                <w:rFonts w:ascii="Calibri" w:hAnsi="Calibri"/>
                <w:b w:val="0"/>
                <w:i w:val="0"/>
                <w:color w:val="000000"/>
                <w:sz w:val="22"/>
                <w:u w:val="none"/>
              </w:rPr>
              <w:t>7</w:t>
            </w:r>
          </w:p>
        </w:tc>
        <w:tc>
          <w:tcPr>
            <w:tcW w:type="dxa" w:w="2880"/>
          </w:tcPr>
          <w:p>
            <w:r/>
            <w:r>
              <w:rPr>
                <w:rFonts w:ascii="Calibri" w:hAnsi="Calibri"/>
                <w:b w:val="0"/>
                <w:i w:val="0"/>
                <w:color w:val="000000"/>
                <w:sz w:val="22"/>
                <w:u w:val="none"/>
              </w:rPr>
              <w:t>Newton's Third Law and Action-Reaction Pairs (Day 2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analyze my understanding to identify Newton's Third Law action-reaction force p...</w:t>
            </w:r>
          </w:p>
        </w:tc>
      </w:tr>
      <w:tr>
        <w:tc>
          <w:tcPr>
            <w:tcW w:type="dxa" w:w="1008"/>
            <w:shd w:fill="F2F2F2" w:val="clear"/>
          </w:tcPr>
          <w:p>
            <w:r/>
            <w:r>
              <w:rPr>
                <w:rFonts w:ascii="Calibri" w:hAnsi="Calibri"/>
                <w:b w:val="0"/>
                <w:i w:val="0"/>
                <w:color w:val="000000"/>
                <w:sz w:val="22"/>
                <w:u w:val="none"/>
              </w:rPr>
              <w:t>8</w:t>
            </w:r>
          </w:p>
        </w:tc>
        <w:tc>
          <w:tcPr>
            <w:tcW w:type="dxa" w:w="2880"/>
            <w:shd w:fill="F2F2F2" w:val="clear"/>
          </w:tcPr>
          <w:p>
            <w:r/>
            <w:r>
              <w:rPr>
                <w:rFonts w:ascii="Calibri" w:hAnsi="Calibri"/>
                <w:b w:val="0"/>
                <w:i w:val="0"/>
                <w:color w:val="000000"/>
                <w:sz w:val="22"/>
                <w:u w:val="none"/>
              </w:rPr>
              <w:t>Free Body Diagrams and Net Force Calculations (Day 1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describe key concepts related to: draw a free body diagram showing all forces ...</w:t>
            </w:r>
          </w:p>
        </w:tc>
      </w:tr>
      <w:tr>
        <w:tc>
          <w:tcPr>
            <w:tcW w:type="dxa" w:w="1008"/>
          </w:tcPr>
          <w:p>
            <w:r/>
            <w:r>
              <w:rPr>
                <w:rFonts w:ascii="Calibri" w:hAnsi="Calibri"/>
                <w:b w:val="0"/>
                <w:i w:val="0"/>
                <w:color w:val="000000"/>
                <w:sz w:val="22"/>
                <w:u w:val="none"/>
              </w:rPr>
              <w:t>9</w:t>
            </w:r>
          </w:p>
        </w:tc>
        <w:tc>
          <w:tcPr>
            <w:tcW w:type="dxa" w:w="2880"/>
          </w:tcPr>
          <w:p>
            <w:r/>
            <w:r>
              <w:rPr>
                <w:rFonts w:ascii="Calibri" w:hAnsi="Calibri"/>
                <w:b w:val="0"/>
                <w:i w:val="0"/>
                <w:color w:val="000000"/>
                <w:sz w:val="22"/>
                <w:u w:val="none"/>
              </w:rPr>
              <w:t>Free Body Diagrams and Net Force Calculations (Day 2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compare concepts and draw a free body diagram showing all forces acting on an o...</w:t>
            </w:r>
          </w:p>
        </w:tc>
      </w:tr>
      <w:tr>
        <w:tc>
          <w:tcPr>
            <w:tcW w:type="dxa" w:w="1008"/>
            <w:shd w:fill="F2F2F2" w:val="clear"/>
          </w:tcPr>
          <w:p>
            <w:r/>
            <w:r>
              <w:rPr>
                <w:rFonts w:ascii="Calibri" w:hAnsi="Calibri"/>
                <w:b w:val="0"/>
                <w:i w:val="0"/>
                <w:color w:val="000000"/>
                <w:sz w:val="22"/>
                <w:u w:val="none"/>
              </w:rPr>
              <w:t>10</w:t>
            </w:r>
          </w:p>
        </w:tc>
        <w:tc>
          <w:tcPr>
            <w:tcW w:type="dxa" w:w="2880"/>
            <w:shd w:fill="F2F2F2" w:val="clear"/>
          </w:tcPr>
          <w:p>
            <w:r/>
            <w:r>
              <w:rPr>
                <w:rFonts w:ascii="Calibri" w:hAnsi="Calibri"/>
                <w:b w:val="0"/>
                <w:i w:val="0"/>
                <w:color w:val="000000"/>
                <w:sz w:val="22"/>
                <w:u w:val="none"/>
              </w:rPr>
              <w:t>Free Body Diagrams and Net Force Calculations (Day 3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evaluate and explain my understanding to draw a free body diagram showing all forces acti...</w:t>
            </w:r>
          </w:p>
        </w:tc>
      </w:tr>
      <w:tr>
        <w:tc>
          <w:tcPr>
            <w:tcW w:type="dxa" w:w="1008"/>
          </w:tcPr>
          <w:p>
            <w:r/>
            <w:r>
              <w:rPr>
                <w:rFonts w:ascii="Calibri" w:hAnsi="Calibri"/>
                <w:b w:val="0"/>
                <w:i w:val="0"/>
                <w:color w:val="000000"/>
                <w:sz w:val="22"/>
                <w:u w:val="none"/>
              </w:rPr>
              <w:t>11</w:t>
            </w:r>
          </w:p>
        </w:tc>
        <w:tc>
          <w:tcPr>
            <w:tcW w:type="dxa" w:w="2880"/>
          </w:tcPr>
          <w:p>
            <w:r/>
            <w:r>
              <w:rPr>
                <w:rFonts w:ascii="Calibri" w:hAnsi="Calibri"/>
                <w:b w:val="0"/>
                <w:i w:val="0"/>
                <w:color w:val="000000"/>
                <w:sz w:val="22"/>
                <w:u w:val="none"/>
              </w:rPr>
              <w:t>Weight, Mass, and the Force of Gravity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distinguish between mass and weight, calcula...</w:t>
            </w:r>
          </w:p>
        </w:tc>
      </w:tr>
      <w:tr>
        <w:tc>
          <w:tcPr>
            <w:tcW w:type="dxa" w:w="1008"/>
            <w:shd w:fill="F2F2F2" w:val="clear"/>
          </w:tcPr>
          <w:p>
            <w:r/>
            <w:r>
              <w:rPr>
                <w:rFonts w:ascii="Calibri" w:hAnsi="Calibri"/>
                <w:b w:val="0"/>
                <w:i w:val="0"/>
                <w:color w:val="000000"/>
                <w:sz w:val="22"/>
                <w:u w:val="none"/>
              </w:rPr>
              <w:t>12</w:t>
            </w:r>
          </w:p>
        </w:tc>
        <w:tc>
          <w:tcPr>
            <w:tcW w:type="dxa" w:w="2880"/>
            <w:shd w:fill="F2F2F2" w:val="clear"/>
          </w:tcPr>
          <w:p>
            <w:r/>
            <w:r>
              <w:rPr>
                <w:rFonts w:ascii="Calibri" w:hAnsi="Calibri"/>
                <w:b w:val="0"/>
                <w:i w:val="0"/>
                <w:color w:val="000000"/>
                <w:sz w:val="22"/>
                <w:u w:val="none"/>
              </w:rPr>
              <w:t>Weight, Mass, and the Force of Gravity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distinguish between mass and weight, calculate the ...</w:t>
            </w:r>
          </w:p>
        </w:tc>
      </w:tr>
      <w:tr>
        <w:tc>
          <w:tcPr>
            <w:tcW w:type="dxa" w:w="1008"/>
          </w:tcPr>
          <w:p>
            <w:r/>
            <w:r>
              <w:rPr>
                <w:rFonts w:ascii="Calibri" w:hAnsi="Calibri"/>
                <w:b w:val="0"/>
                <w:i w:val="0"/>
                <w:color w:val="000000"/>
                <w:sz w:val="22"/>
                <w:u w:val="none"/>
              </w:rPr>
              <w:t>13</w:t>
            </w:r>
          </w:p>
        </w:tc>
        <w:tc>
          <w:tcPr>
            <w:tcW w:type="dxa" w:w="2880"/>
          </w:tcPr>
          <w:p>
            <w:r/>
            <w:r>
              <w:rPr>
                <w:rFonts w:ascii="Calibri" w:hAnsi="Calibri"/>
                <w:b w:val="0"/>
                <w:i w:val="0"/>
                <w:color w:val="000000"/>
                <w:sz w:val="22"/>
                <w:u w:val="none"/>
              </w:rPr>
              <w:t>Friction — Static and Kinetic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distinguish between static and kinetic frict...</w:t>
            </w:r>
          </w:p>
        </w:tc>
      </w:tr>
      <w:tr>
        <w:tc>
          <w:tcPr>
            <w:tcW w:type="dxa" w:w="1008"/>
            <w:shd w:fill="F2F2F2" w:val="clear"/>
          </w:tcPr>
          <w:p>
            <w:r/>
            <w:r>
              <w:rPr>
                <w:rFonts w:ascii="Calibri" w:hAnsi="Calibri"/>
                <w:b w:val="0"/>
                <w:i w:val="0"/>
                <w:color w:val="000000"/>
                <w:sz w:val="22"/>
                <w:u w:val="none"/>
              </w:rPr>
              <w:t>14</w:t>
            </w:r>
          </w:p>
        </w:tc>
        <w:tc>
          <w:tcPr>
            <w:tcW w:type="dxa" w:w="2880"/>
            <w:shd w:fill="F2F2F2" w:val="clear"/>
          </w:tcPr>
          <w:p>
            <w:r/>
            <w:r>
              <w:rPr>
                <w:rFonts w:ascii="Calibri" w:hAnsi="Calibri"/>
                <w:b w:val="0"/>
                <w:i w:val="0"/>
                <w:color w:val="000000"/>
                <w:sz w:val="22"/>
                <w:u w:val="none"/>
              </w:rPr>
              <w:t>Friction — Static and Kinetic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distinguish between static and kinetic friction, calculate...</w:t>
            </w:r>
          </w:p>
        </w:tc>
      </w:tr>
      <w:tr>
        <w:tc>
          <w:tcPr>
            <w:tcW w:type="dxa" w:w="1008"/>
          </w:tcPr>
          <w:p>
            <w:r/>
            <w:r>
              <w:rPr>
                <w:rFonts w:ascii="Calibri" w:hAnsi="Calibri"/>
                <w:b w:val="0"/>
                <w:i w:val="0"/>
                <w:color w:val="000000"/>
                <w:sz w:val="22"/>
                <w:u w:val="none"/>
              </w:rPr>
              <w:t>15</w:t>
            </w:r>
          </w:p>
        </w:tc>
        <w:tc>
          <w:tcPr>
            <w:tcW w:type="dxa" w:w="2880"/>
          </w:tcPr>
          <w:p>
            <w:r/>
            <w:r>
              <w:rPr>
                <w:rFonts w:ascii="Calibri" w:hAnsi="Calibri"/>
                <w:b w:val="0"/>
                <w:i w:val="0"/>
                <w:color w:val="000000"/>
                <w:sz w:val="22"/>
                <w:u w:val="none"/>
              </w:rPr>
              <w:t>Friction — Static and Kinetic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distinguish between static and kinetic friction,...</w:t>
            </w:r>
          </w:p>
        </w:tc>
      </w:tr>
      <w:tr>
        <w:tc>
          <w:tcPr>
            <w:tcW w:type="dxa" w:w="1008"/>
            <w:shd w:fill="F2F2F2" w:val="clear"/>
          </w:tcPr>
          <w:p>
            <w:r/>
            <w:r>
              <w:rPr>
                <w:rFonts w:ascii="Calibri" w:hAnsi="Calibri"/>
                <w:b w:val="0"/>
                <w:i w:val="0"/>
                <w:color w:val="000000"/>
                <w:sz w:val="22"/>
                <w:u w:val="none"/>
              </w:rPr>
              <w:t>16</w:t>
            </w:r>
          </w:p>
        </w:tc>
        <w:tc>
          <w:tcPr>
            <w:tcW w:type="dxa" w:w="2880"/>
            <w:shd w:fill="F2F2F2" w:val="clear"/>
          </w:tcPr>
          <w:p>
            <w:r/>
            <w:r>
              <w:rPr>
                <w:rFonts w:ascii="Calibri" w:hAnsi="Calibri"/>
                <w:b w:val="0"/>
                <w:i w:val="0"/>
                <w:color w:val="000000"/>
                <w:sz w:val="22"/>
                <w:u w:val="none"/>
              </w:rPr>
              <w:t>Inclined Planes (Day 1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describe key concepts related to: resolve gravitational force into components ...</w:t>
            </w:r>
          </w:p>
        </w:tc>
      </w:tr>
      <w:tr>
        <w:tc>
          <w:tcPr>
            <w:tcW w:type="dxa" w:w="1008"/>
          </w:tcPr>
          <w:p>
            <w:r/>
            <w:r>
              <w:rPr>
                <w:rFonts w:ascii="Calibri" w:hAnsi="Calibri"/>
                <w:b w:val="0"/>
                <w:i w:val="0"/>
                <w:color w:val="000000"/>
                <w:sz w:val="22"/>
                <w:u w:val="none"/>
              </w:rPr>
              <w:t>17</w:t>
            </w:r>
          </w:p>
        </w:tc>
        <w:tc>
          <w:tcPr>
            <w:tcW w:type="dxa" w:w="2880"/>
          </w:tcPr>
          <w:p>
            <w:r/>
            <w:r>
              <w:rPr>
                <w:rFonts w:ascii="Calibri" w:hAnsi="Calibri"/>
                <w:b w:val="0"/>
                <w:i w:val="0"/>
                <w:color w:val="000000"/>
                <w:sz w:val="22"/>
                <w:u w:val="none"/>
              </w:rPr>
              <w:t>Inclined Planes (Day 2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compare concepts and resolve gravitational force into components parallel and p...</w:t>
            </w:r>
          </w:p>
        </w:tc>
      </w:tr>
      <w:tr>
        <w:tc>
          <w:tcPr>
            <w:tcW w:type="dxa" w:w="1008"/>
            <w:shd w:fill="F2F2F2" w:val="clear"/>
          </w:tcPr>
          <w:p>
            <w:r/>
            <w:r>
              <w:rPr>
                <w:rFonts w:ascii="Calibri" w:hAnsi="Calibri"/>
                <w:b w:val="0"/>
                <w:i w:val="0"/>
                <w:color w:val="000000"/>
                <w:sz w:val="22"/>
                <w:u w:val="none"/>
              </w:rPr>
              <w:t>18</w:t>
            </w:r>
          </w:p>
        </w:tc>
        <w:tc>
          <w:tcPr>
            <w:tcW w:type="dxa" w:w="2880"/>
            <w:shd w:fill="F2F2F2" w:val="clear"/>
          </w:tcPr>
          <w:p>
            <w:r/>
            <w:r>
              <w:rPr>
                <w:rFonts w:ascii="Calibri" w:hAnsi="Calibri"/>
                <w:b w:val="0"/>
                <w:i w:val="0"/>
                <w:color w:val="000000"/>
                <w:sz w:val="22"/>
                <w:u w:val="none"/>
              </w:rPr>
              <w:t>Inclined Planes (Day 3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evaluate and explain my understanding to resolve gravitational force into components para...</w:t>
            </w:r>
          </w:p>
        </w:tc>
      </w:tr>
      <w:tr>
        <w:tc>
          <w:tcPr>
            <w:tcW w:type="dxa" w:w="1008"/>
          </w:tcPr>
          <w:p>
            <w:r/>
            <w:r>
              <w:rPr>
                <w:rFonts w:ascii="Calibri" w:hAnsi="Calibri"/>
                <w:b w:val="0"/>
                <w:i w:val="0"/>
                <w:color w:val="000000"/>
                <w:sz w:val="22"/>
                <w:u w:val="none"/>
              </w:rPr>
              <w:t>19</w:t>
            </w:r>
          </w:p>
        </w:tc>
        <w:tc>
          <w:tcPr>
            <w:tcW w:type="dxa" w:w="2880"/>
          </w:tcPr>
          <w:p>
            <w:r/>
            <w:r>
              <w:rPr>
                <w:rFonts w:ascii="Calibri" w:hAnsi="Calibri"/>
                <w:b w:val="0"/>
                <w:i w:val="0"/>
                <w:color w:val="000000"/>
                <w:sz w:val="22"/>
                <w:u w:val="none"/>
              </w:rPr>
              <w:t>Circular Motion and Centripetal Force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explain that an object moving in a circle is...</w:t>
            </w:r>
          </w:p>
        </w:tc>
      </w:tr>
      <w:tr>
        <w:tc>
          <w:tcPr>
            <w:tcW w:type="dxa" w:w="1008"/>
            <w:shd w:fill="F2F2F2" w:val="clear"/>
          </w:tcPr>
          <w:p>
            <w:r/>
            <w:r>
              <w:rPr>
                <w:rFonts w:ascii="Calibri" w:hAnsi="Calibri"/>
                <w:b w:val="0"/>
                <w:i w:val="0"/>
                <w:color w:val="000000"/>
                <w:sz w:val="22"/>
                <w:u w:val="none"/>
              </w:rPr>
              <w:t>20</w:t>
            </w:r>
          </w:p>
        </w:tc>
        <w:tc>
          <w:tcPr>
            <w:tcW w:type="dxa" w:w="2880"/>
            <w:shd w:fill="F2F2F2" w:val="clear"/>
          </w:tcPr>
          <w:p>
            <w:r/>
            <w:r>
              <w:rPr>
                <w:rFonts w:ascii="Calibri" w:hAnsi="Calibri"/>
                <w:b w:val="0"/>
                <w:i w:val="0"/>
                <w:color w:val="000000"/>
                <w:sz w:val="22"/>
                <w:u w:val="none"/>
              </w:rPr>
              <w:t>Circular Motion and Centripetal Force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explain that an object moving in a circle is accelerating,...</w:t>
            </w:r>
          </w:p>
        </w:tc>
      </w:tr>
      <w:tr>
        <w:tc>
          <w:tcPr>
            <w:tcW w:type="dxa" w:w="1008"/>
          </w:tcPr>
          <w:p>
            <w:r/>
            <w:r>
              <w:rPr>
                <w:rFonts w:ascii="Calibri" w:hAnsi="Calibri"/>
                <w:b w:val="0"/>
                <w:i w:val="0"/>
                <w:color w:val="000000"/>
                <w:sz w:val="22"/>
                <w:u w:val="none"/>
              </w:rPr>
              <w:t>21</w:t>
            </w:r>
          </w:p>
        </w:tc>
        <w:tc>
          <w:tcPr>
            <w:tcW w:type="dxa" w:w="2880"/>
          </w:tcPr>
          <w:p>
            <w:r/>
            <w:r>
              <w:rPr>
                <w:rFonts w:ascii="Calibri" w:hAnsi="Calibri"/>
                <w:b w:val="0"/>
                <w:i w:val="0"/>
                <w:color w:val="000000"/>
                <w:sz w:val="22"/>
                <w:u w:val="none"/>
              </w:rPr>
              <w:t>Circular Motion and Centripetal Force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explain that an object moving in a circle is acc...</w:t>
            </w:r>
          </w:p>
        </w:tc>
      </w:tr>
    </w:tbl>
    <w:p/>
    <w:p>
      <w:pPr>
        <w:spacing w:before="160" w:after="80"/>
        <w:jc w:val="left"/>
      </w:pPr>
      <w:r>
        <w:rPr>
          <w:rFonts w:ascii="Calibri" w:hAnsi="Calibri"/>
          <w:b/>
          <w:i w:val="0"/>
          <w:color w:val="1F4E79"/>
          <w:sz w:val="24"/>
          <w:u w:val="none"/>
        </w:rPr>
        <w:t>Standards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Constructing Explanations and Designing Solutions</w:t>
              <w:br/>
              <w:t>Developing and Using Models</w:t>
              <w:br/>
              <w:t>Engaging in Argument from Evidence</w:t>
              <w:b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Scale, Proportion, and Quantity</w:t>
              <w:br/>
              <w:t>Stability and Change</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CRSE Theme</w:t>
      </w:r>
    </w:p>
    <w:p>
      <w:pPr>
        <w:spacing w:before="80" w:after="80"/>
        <w:shd w:fill="E2EFDA" w:val="clear"/>
      </w:pPr>
      <w:r>
        <w:rPr>
          <w:rFonts w:ascii="Calibri" w:hAnsi="Calibri"/>
          <w:b/>
          <w:i w:val="0"/>
          <w:color w:val="1F4E79"/>
          <w:sz w:val="22"/>
          <w:u w:val="none"/>
        </w:rPr>
        <w:t xml:space="preserve">Theme: </w:t>
      </w:r>
      <w:r>
        <w:rPr>
          <w:rFonts w:ascii="Calibri" w:hAnsi="Calibri"/>
          <w:b w:val="0"/>
          <w:i w:val="0"/>
          <w:color w:val="000000"/>
          <w:sz w:val="22"/>
          <w:u w:val="none"/>
        </w:rPr>
        <w:t>Students investigate the physics of forces in culturally relevant contexts — the engineering behind earthquake-resistant buildings in communities of color, the biomechanics of dance forms like breakdancing and ballet, and how Isaac Newton built on the earlier work of scholars from the Islamic Golden Age such as Ibn al-Haytham and Avicenna.</w:t>
      </w:r>
    </w:p>
    <w:p>
      <w:pPr>
        <w:spacing w:before="160" w:after="80"/>
        <w:jc w:val="left"/>
      </w:pPr>
      <w:r>
        <w:rPr>
          <w:rFonts w:ascii="Calibri" w:hAnsi="Calibri"/>
          <w:b/>
          <w:i w:val="0"/>
          <w:color w:val="1F4E79"/>
          <w:sz w:val="24"/>
          <w:u w:val="none"/>
        </w:rPr>
        <w:t>Assessment Overview</w:t>
      </w:r>
    </w:p>
    <w:p>
      <w:pPr>
        <w:spacing w:before="80" w:after="80"/>
        <w:jc w:val="left"/>
      </w:pPr>
      <w:r>
        <w:rPr>
          <w:rFonts w:ascii="Calibri" w:hAnsi="Calibri"/>
          <w:b/>
          <w:i w:val="0"/>
          <w:color w:val="000000"/>
          <w:sz w:val="22"/>
          <w:u w:val="none"/>
        </w:rPr>
        <w:t>Formative Assessments:</w:t>
      </w:r>
    </w:p>
    <w:p>
      <w:pPr>
        <w:pStyle w:val="ListBullet"/>
        <w:spacing w:before="20" w:after="20"/>
      </w:pPr>
      <w:r>
        <w:rPr>
          <w:rFonts w:ascii="Calibri" w:hAnsi="Calibri"/>
          <w:b w:val="0"/>
          <w:i w:val="0"/>
          <w:color w:val="000000"/>
          <w:sz w:val="22"/>
          <w:u w:val="none"/>
        </w:rPr>
        <w:t>Free body diagram checks</w:t>
      </w:r>
    </w:p>
    <w:p>
      <w:pPr>
        <w:pStyle w:val="ListBullet"/>
        <w:spacing w:before="20" w:after="20"/>
      </w:pPr>
      <w:r>
        <w:rPr>
          <w:rFonts w:ascii="Calibri" w:hAnsi="Calibri"/>
          <w:b w:val="0"/>
          <w:i w:val="0"/>
          <w:color w:val="000000"/>
          <w:sz w:val="22"/>
          <w:u w:val="none"/>
        </w:rPr>
        <w:t>Newton's Second Law calculation sets</w:t>
      </w:r>
    </w:p>
    <w:p>
      <w:pPr>
        <w:pStyle w:val="ListBullet"/>
        <w:spacing w:before="20" w:after="20"/>
      </w:pPr>
      <w:r>
        <w:rPr>
          <w:rFonts w:ascii="Calibri" w:hAnsi="Calibri"/>
          <w:b w:val="0"/>
          <w:i w:val="0"/>
          <w:color w:val="000000"/>
          <w:sz w:val="22"/>
          <w:u w:val="none"/>
        </w:rPr>
        <w:t>Friction lab data analysis</w:t>
      </w:r>
    </w:p>
    <w:p>
      <w:pPr>
        <w:spacing w:before="80" w:after="80"/>
        <w:jc w:val="left"/>
      </w:pPr>
      <w:r>
        <w:rPr>
          <w:rFonts w:ascii="Calibri" w:hAnsi="Calibri"/>
          <w:b/>
          <w:i w:val="0"/>
          <w:color w:val="000000"/>
          <w:sz w:val="22"/>
          <w:u w:val="none"/>
        </w:rPr>
        <w:t>Summative Assessments:</w:t>
      </w:r>
    </w:p>
    <w:p>
      <w:pPr>
        <w:pStyle w:val="ListBullet"/>
        <w:spacing w:before="20" w:after="20"/>
      </w:pPr>
      <w:r>
        <w:rPr>
          <w:rFonts w:ascii="Calibri" w:hAnsi="Calibri"/>
          <w:b w:val="0"/>
          <w:i w:val="0"/>
          <w:color w:val="000000"/>
          <w:sz w:val="22"/>
          <w:u w:val="none"/>
        </w:rPr>
        <w:t>Investigation: Newton's Second Law Lab</w:t>
      </w:r>
    </w:p>
    <w:p>
      <w:pPr>
        <w:pStyle w:val="ListBullet"/>
        <w:spacing w:before="20" w:after="20"/>
      </w:pPr>
      <w:r>
        <w:rPr>
          <w:rFonts w:ascii="Calibri" w:hAnsi="Calibri"/>
          <w:b w:val="0"/>
          <w:i w:val="0"/>
          <w:color w:val="000000"/>
          <w:sz w:val="22"/>
          <w:u w:val="none"/>
        </w:rPr>
        <w:t>Unit 3 Exam: Forces and Newton's Laws</w:t>
      </w:r>
    </w:p>
    <w:p>
      <w:pPr>
        <w:spacing w:before="160" w:after="80"/>
        <w:jc w:val="left"/>
      </w:pPr>
      <w:r>
        <w:rPr>
          <w:rFonts w:ascii="Calibri" w:hAnsi="Calibri"/>
          <w:b/>
          <w:i w:val="0"/>
          <w:color w:val="1F4E79"/>
          <w:sz w:val="24"/>
          <w:u w:val="none"/>
        </w:rPr>
        <w:t>Required Investigations</w:t>
      </w:r>
    </w:p>
    <w:p>
      <w:pPr>
        <w:pStyle w:val="ListBullet"/>
        <w:spacing w:before="20" w:after="20"/>
      </w:pPr>
      <w:r>
        <w:rPr>
          <w:rFonts w:ascii="Calibri" w:hAnsi="Calibri"/>
          <w:b w:val="0"/>
          <w:i w:val="0"/>
          <w:color w:val="000000"/>
          <w:sz w:val="22"/>
          <w:u w:val="none"/>
        </w:rPr>
        <w:t>Investigation 3: Relationship Between Net Force, Mass, and Acceleration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