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18: Electromagnetic Induction and Unit Review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Electromagnetic Induction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hand-crank flashlight contains no batteries. When the user cranks the handle, a bright LED turns on. Inside, a small magnet spins rapidly near a coil of wire. When the user stops cranking, the light immediately dims and goes out. Some models include a capacitor that stores energy and keeps the light on for a few minutes after cranking stops.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Faraday's Law of electromagnetic induction, I claim that the flashlight generates electricity without batteries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Describe the energy transformations: mechanical energy from cranking → rotational kinetic energy of the magnet → changing magnetic field through the coil → induced current → electrical energy → light energy in the LED.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spinning the magnet creates a ___ magnetic field through the coil, which by Faraday's Law induces a ___. When cranking stops, the magnetic field stops ___, so no current is induced and the light ___. This demonstrates the principle that all generators use: ___ energy is converted to ___ energy through electromagnetic induction.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