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10: Standing Waves and Resonance (Day 2 of 2)</w:t>
      </w:r>
    </w:p>
    <w:p>
      <w:pPr>
        <w:spacing w:before="0" w:after="80"/>
        <w:jc w:val="center"/>
      </w:pPr>
      <w:r>
        <w:rPr>
          <w:rFonts w:ascii="Calibri" w:hAnsi="Calibri"/>
          <w:b/>
          <w:i w:val="0"/>
          <w:color w:val="1F4E79"/>
          <w:sz w:val="24"/>
          <w:u w:val="none"/>
        </w:rPr>
        <w:t>Topic: Resonance and Structural Failure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On November 7, 1940, the Tacoma Narrows Bridge in Washington State collapsed just four months after opening. Wind at only 68 km/h (not unusually strong) caused the bridge to oscillate with increasing amplitude until it tore apart. Engineers later determined that the wind created vortices that matched the bridge's natural frequency of oscillation. Modern suspension bridges are designed with damping systems to prevent this.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concept of resonance, I claim that the Tacoma Narrows Bridge collapsed not because the wind was too strong, but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Explain how the wind frequency matched the bridge's natural frequency, causing energy to accumulate in the oscillation. Describe what resonance means in terms of energy transfer.</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when the driving frequency (wind vortices) matched the bridge's ___ frequency, each cycle of wind added ___ to the oscillation without allowing energy to dissipate. Over time, the amplitude ___ beyond the structural limits. Modern bridges prevent this by adding ___, which removes energy from oscillations.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