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10: Standing Waves and Resonance (Day 2 of 2)</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explain how standing waves form, identify harmonics and their node/antinode patterns, and describe resonance as the transfer of energy at a natural frequency.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explain how standing waves form, identify harmonics and their node/antinode patterns, and describe resonance as the transfer of energy at a natural frequency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Constructing Explanations and Designing Solutions</w:t>
            </w:r>
          </w:p>
        </w:tc>
        <w:tc>
          <w:tcPr>
            <w:tcW w:type="dxa" w:w="2160"/>
          </w:tcPr>
          <w:p>
            <w:r/>
            <w:r>
              <w:rPr>
                <w:rFonts w:ascii="Calibri" w:hAnsi="Calibri"/>
                <w:b w:val="0"/>
                <w:i w:val="0"/>
                <w:color w:val="000000"/>
                <w:sz w:val="22"/>
                <w:u w:val="none"/>
              </w:rPr>
              <w:t>Patterns</w:t>
              <w:br/>
              <w:t>Cause and Effect</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String vibrators or oscillating motors (1 per group)</w:t>
      </w:r>
    </w:p>
    <w:p>
      <w:pPr>
        <w:pStyle w:val="ListBullet"/>
        <w:spacing w:before="20" w:after="20"/>
      </w:pPr>
      <w:r>
        <w:rPr>
          <w:rFonts w:ascii="Calibri" w:hAnsi="Calibri"/>
          <w:b w:val="0"/>
          <w:i w:val="0"/>
          <w:color w:val="000000"/>
          <w:sz w:val="22"/>
          <w:u w:val="none"/>
        </w:rPr>
        <w:t>String and clamps</w:t>
      </w:r>
    </w:p>
    <w:p>
      <w:pPr>
        <w:pStyle w:val="ListBullet"/>
        <w:spacing w:before="20" w:after="20"/>
      </w:pPr>
      <w:r>
        <w:rPr>
          <w:rFonts w:ascii="Calibri" w:hAnsi="Calibri"/>
          <w:b w:val="0"/>
          <w:i w:val="0"/>
          <w:color w:val="000000"/>
          <w:sz w:val="22"/>
          <w:u w:val="none"/>
        </w:rPr>
        <w:t>Frequency generators (or function generator app)</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Standing wave pattern reference cards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Demonstration: Use a string vibrator to create standing waves on a string. Start with the fundamental frequency — students see one large loop. Gradually increase the frequency — at specific frequencies, the string snaps into 2 loops, then 3, then 4. At frequencies between these, the string vibrates chaotically. Ask: Why does the string only form clean patterns at certain frequencies?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Groups use string vibrators (or shaking a rope with a partner holding the other end) to produce standing waves. They find the fundamental frequency (1 loop) and the second (2 loops), third (3 loops), and fourth (4 loops) harmonics. For each, they measure the wavelength (two loops = one wavelength for the 2nd harmonic), identify nodes and antinodes, and calculate the frequency using v = f(lambda).</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standing waves: produced when two identical waves travel in opposite directions and interfere. Nodes are points of permanent destructive interference (zero amplitude). Antinodes are points of permanent constructive interference (maximum amplitude). Harmonics: the fundamental (1st harmonic) has wavelength = 2L. The nth harmonic has wavelength = 2L/n and frequency = nf_1. Resonance: when a driving force matches a natural frequency of a system, energy transfer is maximized and amplitude builds dramatically. Examples: pushing a swing, Tacoma Narrows Bridge collapse, opera singer shattering a glass.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 pipe open at both ends is 1.0 m long. The speed of sound is 343 m/s. Students calculate: (a) The fundamental wavelength and frequency. (b) The frequency of the second and third harmonics. (c) Draw the standing wave pattern for each harmonic, labeling nodes and antinodes. (d) Explain why a shorter pipe produces a higher-pitched note.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string 0.8 m long vibrates at its third harmonic. (a) How many nodes and antinodes are there? (b) What is the wavelength? (c) If the wave speed is 200 m/s, what is the frequency?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harmonics reference card showing the first four harmonics with diagrams, node/antinode counts, wavelength formulas, and frequency relationships. Use color-coding for nodes (blue dots) and antinodes (red arcs).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standing wave exploration and all harmonic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harmonic series for a pipe closed at one end (only odd harmonics). Compare to an open pipe and explain why a clarinet (closed pipe) sounds different from a flute (open pipe) playing the same note. Calculate the missing harmonics.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string demonstration as primary learning. Provide visual harmonic patterns with bilingual labels. Use consistent diagrams with node/antinode patterns clearly drawn.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standing wave diagrams for students to label nodes and antinodes. Use a simplified formula: 'Fundamental wavelength = 2 x string length.' Build to harmonics gradually.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resonance has shaped music and architecture across cultures. The didgeridoo, an Australian Aboriginal instrument over 1,500 years old, produces its deep drone through standing waves in a long tube — players create different harmonics by changing their lip vibration frequency. Connect to how understanding resonance has improved building safety in earthquake-prone regions, particularly in communities in Japan, Chile, and Turkey.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'Fundamental Frequency': Start with 'Fundamental Frequency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