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10: Standing Waves and Resonance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explain how standing waves form, identify harmonics and their node/antinode patterns, and describe resonance as the transfer of energy at a natural frequency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Node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point on ________ standing wave ________ remains at ________ displacement; the ________ of permanent ________ interference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Fundamental Frequency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lowest frequency ________ which a ________ wave can ________ also called ________ first harmonic; ________ a string, ________ = 2L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Resonance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dramatic increase ________ amplitude when ________ driving force ________ a natural ________ of a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Nodes and Antinodes — Fixed Points in the Pattern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Resonance — When Frequency Matching Amplifies Energy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Standing Waves and Resonance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Standing Waves and Resonance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standing waves and resonance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standing waves and resonance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