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8: Waves &amp; Sound  |  Lesson 13: Sound Waves and the Doppler Effect (Day 3 of 3)</w:t>
      </w:r>
    </w:p>
    <w:p>
      <w:pPr>
        <w:spacing w:before="0" w:after="80"/>
        <w:jc w:val="center"/>
      </w:pPr>
      <w:r>
        <w:rPr>
          <w:rFonts w:ascii="Calibri" w:hAnsi="Calibri"/>
          <w:b/>
          <w:i w:val="0"/>
          <w:color w:val="1F4E79"/>
          <w:sz w:val="24"/>
          <w:u w:val="none"/>
        </w:rPr>
        <w:t>Topic: Doppler Effect in Everyday Life</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police officer uses a radar speed gun that emits radio waves at a frequency of 24.150 GHz toward an approaching car. The reflected waves return at a higher frequency of 24.154 GHz. The officer uses this frequency shift to calculate the car's speed. Meanwhile, the driver of the car hears the police siren's pitch change as the police car passes by at an intersection.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Doppler effect, I claim that both the radar frequency shift and the siren pitch change are caused by the same physical principle applied to different types of waves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Explain how relative motion between source and observer causes the radar frequency to increase (car approaching) and the siren pitch to decrease (car receding). Compare the Doppler effect for electromagnetic waves (radar) and mechanical waves (sound).</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in both cases, relative motion between source and observer causes the observed frequency to ___ when approaching and ___ when receding. The radar gun detects a frequency increase of ___ GHz because the car acts as a moving ___ that reflects the wave back at a ___ frequency.</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