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8: Interference and the Superposition Principle (Day 2 of 2)</w:t>
      </w:r>
    </w:p>
    <w:p>
      <w:pPr>
        <w:spacing w:before="0" w:after="80"/>
        <w:jc w:val="center"/>
      </w:pPr>
      <w:r>
        <w:rPr>
          <w:rFonts w:ascii="Calibri" w:hAnsi="Calibri"/>
          <w:b/>
          <w:i w:val="0"/>
          <w:color w:val="1F4E79"/>
          <w:sz w:val="24"/>
          <w:u w:val="none"/>
        </w:rPr>
        <w:t>Topic: Interference and Noise Cancellation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factory worker uses noise-canceling earmuffs that contain a microphone and a speaker. The microphone detects incoming noise, a processor generates an inverted version of the sound wave, and the speaker plays it into the ear. The worker reports that the earmuffs effectively reduce the drone of machinery (low frequency, ~100 Hz) but do not cancel the sound of a coworker's voice (varied frequencies, 300-3000 Hz).</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destructive interference principles, I claim that noise-canceling technology works better for low-frequency, predictable sounds than for high-frequency, variable sounds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Consider the wavelength of 100 Hz sound vs. 3000 Hz sound. Discuss the time the processor needs to analyze and invert the wave compared to the period of each frequency.</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low-frequency sounds have ___ wavelengths and ___ periods, giving the processor ___ time to analyze each cycle and generate an accurate inverted wave. High-frequency sounds change ___ rapidly for the processor to create a precise inverted wave, and human speech is ___, making destructive interference incomplete.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