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7: Fission, Fusion, and Mass-Energy Equivalence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compare nuclear fission and fusion, explain mass-energy equivalence (E = mc^2), and evaluate the benefits and risks of nuclear energy applications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Fusion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combining of ________ light nuclei ________ form a ________ nucleus, releasing ________ powers the ________ and stars; ________ more energy ________ unit mass ________ fission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Mass Defect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mass of ________ nucleus and ________ sum of ________ masses of ________ individual protons ________ neutrons; this ________ has been ________ to binding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Binding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required ________ completely separate ________ protons and ________ in a ________ equivalent to ________ mass defect ________ c^2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Fusion — Combining Light Nuclei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Binding Energy Curve — Why Fission and Fusion Both Release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Fission, Fusion, and Mass-Energy Equivalence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Fission, Fusion, and Mass-Energy Equivalence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fission, fusion, and mass-energy equivalence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fission, fusion, and mass-energy equivalence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