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unit-kinematics-unit-plan"/>
    <w:p>
      <w:pPr>
        <w:pStyle w:val="Heading1"/>
      </w:pPr>
      <w:r>
        <w:t xml:space="preserve">Unit: Kinematics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</w:t>
      </w:r>
      <w:r>
        <w:t xml:space="preserve"> </w:t>
      </w:r>
      <w:r>
        <w:t xml:space="preserve">9 lessons · ~2 weeks at 42-minute periods (one double period per week)</w:t>
      </w:r>
      <w:r>
        <w:t xml:space="preserve"> </w:t>
      </w:r>
      <w:r>
        <w:t xml:space="preserve">Aligned to the</w:t>
      </w:r>
      <w:r>
        <w:t xml:space="preserve"> </w:t>
      </w:r>
      <w:r>
        <w:rPr>
          <w:b/>
          <w:bCs/>
        </w:rPr>
        <w:t xml:space="preserve">NEW East Meadow Physics Scope and Sequence</w:t>
      </w:r>
      <w:r>
        <w:t xml:space="preserve"> </w:t>
      </w:r>
      <w:r>
        <w:t xml:space="preserve">(2026)</w: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The verbatim Kinematics row-by-row table from</w:t>
      </w:r>
      <w:r>
        <w:t xml:space="preserve"> </w:t>
      </w:r>
      <w:r>
        <w:rPr>
          <w:rStyle w:val="VerbatimChar"/>
        </w:rPr>
        <w:t xml:space="preserve">Scope_and_Sequence.md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NYSSLS</w:t>
            </w:r>
          </w:p>
        </w:tc>
        <w:tc>
          <w:tcPr/>
          <w:p>
            <w:pPr>
              <w:pStyle w:val="Compact"/>
            </w:pPr>
            <w:r>
              <w:t xml:space="preserve">Phenomenon</w:t>
            </w:r>
          </w:p>
        </w:tc>
        <w:tc>
          <w:tcPr/>
          <w:p>
            <w:pPr>
              <w:pStyle w:val="Compact"/>
            </w:pPr>
            <w:r>
              <w:t xml:space="preserve">Javalab / Labs</w:t>
            </w:r>
          </w:p>
        </w:tc>
        <w:tc>
          <w:tcPr/>
          <w:p>
            <w:pPr>
              <w:pStyle w:val="Compact"/>
            </w:pPr>
            <w:r>
              <w:t xml:space="preserve">Assessments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Vector Animations</w:t>
            </w:r>
          </w:p>
        </w:tc>
        <w:tc>
          <w:tcPr/>
          <w:p>
            <w:pPr>
              <w:pStyle w:val="Compact"/>
            </w:pPr>
            <w:r>
              <w:t xml:space="preserve">PhET Vector Addition; Physics Classroom Vector Addition Interactive; Vector Golf</w:t>
            </w:r>
          </w:p>
        </w:tc>
        <w:tc>
          <w:tcPr/>
          <w:p>
            <w:pPr>
              <w:pStyle w:val="Compact"/>
            </w:pPr>
            <w:r>
              <w:t xml:space="preserve">An Introduction to Free Body Diagrams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/ Displacement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Vector Walk (Physics Classroom)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Speed / Velocity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— Acceleration</w:t>
            </w:r>
          </w:p>
        </w:tc>
        <w:tc>
          <w:tcPr/>
          <w:p>
            <w:pPr>
              <w:pStyle w:val="Compact"/>
            </w:pPr>
            <w:r>
              <w:t xml:space="preserve">OPhysics Uniform Acceleration in 1D; Speeding Up / Slowing Down</w:t>
            </w:r>
          </w:p>
        </w:tc>
        <w:tc>
          <w:tcPr/>
          <w:p>
            <w:pPr>
              <w:pStyle w:val="Compact"/>
            </w:pPr>
            <w:r>
              <w:t xml:space="preserve">Newton’s Second Law in 1-D Motion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 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PhET Moving Man; Physics Classroom Graph That Motion (Concept Builder + Interactive)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Jumping from Space! (YouTube)</w:t>
            </w:r>
          </w:p>
        </w:tc>
        <w:tc>
          <w:tcPr/>
          <w:p>
            <w:pPr>
              <w:pStyle w:val="Compact"/>
            </w:pPr>
            <w:r>
              <w:t xml:space="preserve">Java Lab Freefall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Thrown Upwards / Vertical Projectiles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(image only — see local hook)</w:t>
            </w:r>
          </w:p>
        </w:tc>
        <w:tc>
          <w:tcPr/>
          <w:p>
            <w:pPr>
              <w:pStyle w:val="Compact"/>
            </w:pPr>
            <w:r>
              <w:t xml:space="preserve">OPhysics Projectile Motion; PhET Projectile Motion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Projectile Motion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MythBusters Bullet Fired/Dropped; Shoot-n-Drop</w:t>
            </w:r>
          </w:p>
        </w:tc>
        <w:tc>
          <w:tcPr/>
          <w:p>
            <w:pPr>
              <w:pStyle w:val="Compact"/>
            </w:pPr>
            <w:r>
              <w:t xml:space="preserve">PhET Projectile Motion; Java Lab Horizontal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Projectiles at an Angle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Jamaal Murray hail mary</w:t>
            </w:r>
          </w:p>
        </w:tc>
        <w:tc>
          <w:tcPr/>
          <w:p>
            <w:pPr>
              <w:pStyle w:val="Compact"/>
            </w:pPr>
            <w:r>
              <w:t xml:space="preserve">PhET Projectile Motion; Projectile Lab worksheet</w:t>
            </w:r>
          </w:p>
        </w:tc>
        <w:tc>
          <w:tcPr/>
          <w:p>
            <w:pPr>
              <w:pStyle w:val="Compact"/>
            </w:pPr>
            <w:r>
              <w:t xml:space="preserve">(formative via exit ticket + design product)</w:t>
            </w:r>
          </w:p>
        </w:tc>
      </w:tr>
    </w:tbl>
    <w:p>
      <w:pPr>
        <w:pStyle w:val="BodyText"/>
      </w:pPr>
      <w:r>
        <w:t xml:space="preserve">The NYSSLS thread for the unit is</w:t>
      </w:r>
      <w:r>
        <w:t xml:space="preserve"> </w:t>
      </w: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 (Cause and Effect)</w:t>
      </w:r>
    </w:p>
    <w:p>
      <w:pPr>
        <w:pStyle w:val="BodyText"/>
      </w:pPr>
      <w:r>
        <w:t xml:space="preserve">Vectors (Lesson 01) and Acceleration (Lesson 04) are the explicitly NYSSLS-tagged rows in the source MD. The remaining lessons carry the thread by establishing the</w:t>
      </w:r>
      <w:r>
        <w:t xml:space="preserve"> </w:t>
      </w:r>
      <w:r>
        <w:rPr>
          <w:i/>
          <w:iCs/>
        </w:rPr>
        <w:t xml:space="preserve">vector quantities</w:t>
      </w:r>
      <w:r>
        <w:t xml:space="preserve"> </w:t>
      </w:r>
      <w:r>
        <w:t xml:space="preserve">(displacement, velocity, acceleration components) that HS-PS2-1 requires students to reason about. Conservation of momentum (HS-PS2-2) and gravitational/electrostatic forces (HS-PS2-4) belong to the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unit that follows.</w: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chip(s)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  <w:tc>
          <w:tcPr/>
          <w:p>
            <w:pPr>
              <w:pStyle w:val="Compact"/>
            </w:pPr>
            <w:r>
              <w:t xml:space="preserve">Unit opener; Vector Golf stations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02 Distance and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Live walk-to-the-door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Sentence expansion 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  <w:tc>
          <w:tcPr/>
          <w:p>
            <w:pPr>
              <w:pStyle w:val="Compact"/>
            </w:pPr>
            <w:r>
              <w:t xml:space="preserve">Random groups + VNPS thin-slicing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Because/but/so 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Toss-and-catch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  <w:tc>
          <w:tcPr/>
          <w:p>
            <w:pPr>
              <w:pStyle w:val="Compact"/>
            </w:pPr>
            <w:r>
              <w:t xml:space="preserve">Thin-slicing + paragraph topic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Unit assessment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Regents-style cluster (</w:t>
            </w:r>
            <w:r>
              <w:rPr>
                <w:rStyle w:val="VerbatimChar"/>
              </w:rPr>
              <w:t xml:space="preserve">Assessments/Kinematics_Regents_Style_Set.docx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Total instructional time: 10 × 42 min = 420 min (~7 hours of class time across 2 weeks).</w: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FirstParagraph"/>
      </w:pPr>
      <w:r>
        <w:t xml:space="preserve">The district pedagogical requirements dictate strategy frequencies: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 writing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Thinking Classrooms (BTC)</w:t>
      </w:r>
      <w:r>
        <w:t xml:space="preserve"> </w:t>
      </w:r>
      <w:r>
        <w:t xml:space="preserve">— occasional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opening circle</w:t>
      </w:r>
      <w:r>
        <w:t xml:space="preserve"> </w:t>
      </w:r>
      <w:r>
        <w:t xml:space="preserve">— where appropriate (canonical placements: unit opener; day after a high-stakes assessment)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Differentiation/ELL supports</w:t>
      </w:r>
      <w:r>
        <w:t xml:space="preserve"> </w:t>
      </w:r>
      <w:r>
        <w:t xml:space="preserve">— every lesson (built into every Teacher Guide’s Access &amp; Differentiation block)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</w:t>
      </w:r>
      <w:r>
        <w:t xml:space="preserve"> </w:t>
      </w:r>
      <w:r>
        <w:t xml:space="preserve">— every lesson (Opening Connection + Closing Reflection)</w:t>
      </w:r>
    </w:p>
    <w:p>
      <w:pPr>
        <w:pStyle w:val="FirstParagraph"/>
      </w:pPr>
      <w:r>
        <w:t xml:space="preserve">Tagged rotation across the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Totals:</w:t>
      </w:r>
      <w:r>
        <w:t xml:space="preserve"> </w:t>
      </w:r>
      <w:r>
        <w:t xml:space="preserve">HOCHMAN 3 · ACTIVE LEARNING 3 · BTC 2 · RESTORATIVE CIRCLE 1 (unit opener). The second canonical restorative circle would land on the day after the Forces-unit midterm and is therefore in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unit.</w: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HS-PS2-5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Establishes vector decomposition required for all PS2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Vector vs. scalar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 that net force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in F=ma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Visual language of x, v,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Constant-a special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v₀ ≠ 0 freefall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x-y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2-D culmination + design challenge</w:t>
            </w:r>
          </w:p>
        </w:tc>
      </w:tr>
    </w:tbl>
    <w:p>
      <w:pPr>
        <w:pStyle w:val="BodyText"/>
      </w:pPr>
      <w:r>
        <w:t xml:space="preserve">The unit is</w:t>
      </w:r>
      <w:r>
        <w:t xml:space="preserve"> </w:t>
      </w:r>
      <w:r>
        <w:rPr>
          <w:b/>
          <w:bCs/>
        </w:rPr>
        <w:t xml:space="preserve">single-PE focused</w:t>
      </w:r>
      <w:r>
        <w:t xml:space="preserve">: every lesson reinforces HS-PS2-1. The remaining HS-PS2-* PEs (momentum, collision-design, gravity/Coulomb, magnetic-electric fields) live in the Forces, Momentum, and Electrostatics units.</w: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3 terms per lesson, introduced in the</w:t>
      </w:r>
      <w:r>
        <w:t xml:space="preserve"> </w:t>
      </w:r>
      <w:r>
        <w:rPr>
          <w:i/>
          <w:iCs/>
        </w:rPr>
        <w:t xml:space="preserve">second half</w:t>
      </w:r>
      <w:r>
        <w:t xml:space="preserve"> </w:t>
      </w:r>
      <w:r>
        <w:t xml:space="preserve">of the lesson (per NYSSLS Observation Checklist item 5). Aggregated for the unit: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 1</w:t>
            </w:r>
          </w:p>
        </w:tc>
        <w:tc>
          <w:tcPr/>
          <w:p>
            <w:pPr>
              <w:pStyle w:val="Compact"/>
            </w:pPr>
            <w:r>
              <w:t xml:space="preserve">Term 2</w:t>
            </w:r>
          </w:p>
        </w:tc>
        <w:tc>
          <w:tcPr/>
          <w:p>
            <w:pPr>
              <w:pStyle w:val="Compact"/>
            </w:pPr>
            <w:r>
              <w:t xml:space="preserve">Term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velocity</w:t>
            </w:r>
          </w:p>
        </w:tc>
        <w:tc>
          <w:tcPr/>
          <w:p>
            <w:pPr>
              <w:pStyle w:val="Compact"/>
            </w:pPr>
            <w:r>
              <w:t xml:space="preserve">average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deceleration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position-time graph</w:t>
            </w:r>
          </w:p>
        </w:tc>
        <w:tc>
          <w:tcPr/>
          <w:p>
            <w:pPr>
              <w:pStyle w:val="Compact"/>
            </w:pPr>
            <w:r>
              <w:t xml:space="preserve">velocity-time graph</w:t>
            </w:r>
          </w:p>
        </w:tc>
        <w:tc>
          <w:tcPr/>
          <w:p>
            <w:pPr>
              <w:pStyle w:val="Compact"/>
            </w:pPr>
            <w: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gravity (g)</w:t>
            </w:r>
          </w:p>
        </w:tc>
        <w:tc>
          <w:tcPr/>
          <w:p>
            <w:pPr>
              <w:pStyle w:val="Compact"/>
            </w:pPr>
            <w:r>
              <w:t xml:space="preserve">terminal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time-of-flight</w:t>
            </w:r>
          </w:p>
        </w:tc>
        <w:tc>
          <w:tcPr/>
          <w:p>
            <w:pPr>
              <w:pStyle w:val="Compact"/>
            </w:pPr>
            <w: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</w:pPr>
            <w:r>
              <w:t xml:space="preserve">horizontal velocity</w:t>
            </w:r>
          </w:p>
        </w:tc>
        <w:tc>
          <w:tcPr/>
          <w:p>
            <w:pPr>
              <w:pStyle w:val="Compact"/>
            </w:pPr>
            <w:r>
              <w:t xml:space="preserve">vertical velocity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</w:pPr>
            <w:r>
              <w:t xml:space="preserve">launch angle</w:t>
            </w:r>
          </w:p>
        </w:tc>
        <w:tc>
          <w:tcPr/>
          <w:p>
            <w:pPr>
              <w:pStyle w:val="Compact"/>
            </w:pPr>
            <w:r>
              <w:t xml:space="preserve">range equation</w:t>
            </w:r>
          </w:p>
        </w:tc>
        <w:tc>
          <w:tcPr/>
          <w:p>
            <w:pPr>
              <w:pStyle w:val="Compact"/>
            </w:pPr>
            <w:r>
              <w:t xml:space="preserve">optimal angle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unit vocabulary load:</w:t>
      </w:r>
      <w:r>
        <w:t xml:space="preserve"> </w:t>
      </w:r>
      <w:r>
        <w:t xml:space="preserve">27 terms across 9 lessons. The capped-at-3 rule keeps the cognitive load low and aligns with district ELL/ENL guidance.</w:t>
      </w:r>
    </w:p>
    <w:p>
      <w:pPr>
        <w:pStyle w:val="BodyText"/>
      </w:pPr>
      <w:r>
        <w:t xml:space="preserve">Cumulative vocabulary review (recommended for last 5 minutes of Lesson 09 or the assessment day): a 27-card matching deck where students match each term to its definition. Use as a Hochman</w:t>
      </w:r>
      <w:r>
        <w:t xml:space="preserve"> </w:t>
      </w:r>
      <w:r>
        <w:rPr>
          <w:i/>
          <w:iCs/>
        </w:rPr>
        <w:t xml:space="preserve">kernel sentence</w:t>
      </w:r>
      <w:r>
        <w:t xml:space="preserve"> </w:t>
      </w:r>
      <w:r>
        <w:t xml:space="preserve">prompt: “The ___ of a projectile is ___.” for any term.</w:t>
      </w:r>
    </w:p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2026-05-09T18:23:59Z</dcterms:created>
  <dcterms:modified xsi:type="dcterms:W3CDTF">2026-05-09T18:23:59Z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