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1d0c20cdeb7f514404f502c839d01266d5618a"/>
    <w:p>
      <w:pPr>
        <w:pStyle w:val="Heading1"/>
      </w:pPr>
      <w:r>
        <w:t xml:space="preserve">Newton’s Third Law (Action and Reaction) — Teacher Guide</w:t>
      </w:r>
    </w:p>
    <w:bookmarkStart w:id="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5"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10"/>
    <w:bookmarkStart w:id="12" w:name="phenomenon"/>
    <w:p>
      <w:pPr>
        <w:pStyle w:val="Heading3"/>
      </w:pPr>
      <w:r>
        <w:t xml:space="preserve">Phenomenon</w:t>
      </w:r>
    </w:p>
    <w:p>
      <w:pPr>
        <w:pStyle w:val="Compact"/>
        <w:numPr>
          <w:ilvl w:val="0"/>
          <w:numId w:val="1001"/>
        </w:numPr>
      </w:pPr>
      <w:r>
        <w:t xml:space="preserve">Newton’s Third Law demo short (rolling-chair / push-off):</w:t>
      </w:r>
      <w:r>
        <w:t xml:space="preserve"> </w:t>
      </w:r>
      <w:hyperlink r:id="rId11">
        <w:r>
          <w:rPr>
            <w:rStyle w:val="Hyperlink"/>
          </w:rPr>
          <w:t xml:space="preserve">https://youtube.com/shorts/FMWxvYpGRBI</w:t>
        </w:r>
      </w:hyperlink>
    </w:p>
    <w:p>
      <w:pPr>
        <w:pStyle w:val="Compact"/>
        <w:numPr>
          <w:ilvl w:val="0"/>
          <w:numId w:val="1001"/>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12"/>
    <w:bookmarkStart w:id="13" w:name="javalab-labs"/>
    <w:p>
      <w:pPr>
        <w:pStyle w:val="Heading3"/>
      </w:pPr>
      <w:r>
        <w:t xml:space="preserve">Javalab / Labs</w:t>
      </w:r>
    </w:p>
    <w:p>
      <w:pPr>
        <w:pStyle w:val="Compact"/>
        <w:numPr>
          <w:ilvl w:val="0"/>
          <w:numId w:val="1002"/>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13"/>
    <w:bookmarkStart w:id="14" w:name="assessments"/>
    <w:p>
      <w:pPr>
        <w:pStyle w:val="Heading3"/>
      </w:pPr>
      <w:r>
        <w:t xml:space="preserve">Assessments</w:t>
      </w:r>
    </w:p>
    <w:p>
      <w:pPr>
        <w:pStyle w:val="Compact"/>
        <w:numPr>
          <w:ilvl w:val="0"/>
          <w:numId w:val="1003"/>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14"/>
    <w:bookmarkEnd w:id="15"/>
    <w:bookmarkStart w:id="1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004"/>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004"/>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004"/>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16"/>
    <w:bookmarkStart w:id="21" w:name="phase-1-engage-0-12-min"/>
    <w:p>
      <w:pPr>
        <w:pStyle w:val="Heading2"/>
      </w:pPr>
      <w:r>
        <w:t xml:space="preserve">Phase 1 · Engage</w:t>
      </w:r>
      <w:r>
        <w:t xml:space="preserve"> </w:t>
      </w:r>
      <w:r>
        <w:rPr>
          <w:i/>
          <w:iCs/>
        </w:rPr>
        <w:t xml:space="preserve">(0 – 12 min)</w:t>
      </w:r>
    </w:p>
    <w:bookmarkStart w:id="1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17"/>
    <w:bookmarkStart w:id="1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005"/>
        </w:numPr>
      </w:pPr>
      <w:r>
        <w:t xml:space="preserve">“They both rolled apart!”</w:t>
      </w:r>
      <w:r>
        <w:t xml:space="preserve"> </w:t>
      </w:r>
      <w:r>
        <w:t xml:space="preserve">— exactly the catch; only one pushed, yet both moved.</w:t>
      </w:r>
    </w:p>
    <w:p>
      <w:pPr>
        <w:pStyle w:val="Compact"/>
        <w:numPr>
          <w:ilvl w:val="0"/>
          <w:numId w:val="1005"/>
        </w:numPr>
      </w:pPr>
      <w:r>
        <w:t xml:space="preserve">“The lighter one rolled faster / farther.”</w:t>
      </w:r>
      <w:r>
        <w:t xml:space="preserve"> </w:t>
      </w:r>
      <w:r>
        <w:t xml:space="preserve">— good, hold it; we’ll explain it with equal forces + different masses.</w:t>
      </w:r>
    </w:p>
    <w:p>
      <w:pPr>
        <w:pStyle w:val="Compact"/>
        <w:numPr>
          <w:ilvl w:val="0"/>
          <w:numId w:val="1005"/>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18"/>
    <w:bookmarkStart w:id="1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19"/>
    <w:bookmarkStart w:id="2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20"/>
    <w:bookmarkEnd w:id="21"/>
    <w:bookmarkStart w:id="25" w:name="phase-2-explore-12-32-min"/>
    <w:p>
      <w:pPr>
        <w:pStyle w:val="Heading2"/>
      </w:pPr>
      <w:r>
        <w:t xml:space="preserve">Phase 2 · Explore</w:t>
      </w:r>
      <w:r>
        <w:t xml:space="preserve"> </w:t>
      </w:r>
      <w:r>
        <w:rPr>
          <w:i/>
          <w:iCs/>
        </w:rPr>
        <w:t xml:space="preserve">(12 – 32 min)</w:t>
      </w:r>
    </w:p>
    <w:bookmarkStart w:id="2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22"/>
    <w:bookmarkStart w:id="2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006"/>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006"/>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006"/>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23"/>
    <w:bookmarkStart w:id="24"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007"/>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007"/>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24"/>
    <w:bookmarkEnd w:id="25"/>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27" name="Picture"/>
            <a:graphic>
              <a:graphicData uri="http://schemas.openxmlformats.org/drawingml/2006/picture">
                <pic:pic>
                  <pic:nvPicPr>
                    <pic:cNvPr descr="figures/action_reaction_pair.png" id="28" name="Picture"/>
                    <pic:cNvPicPr>
                      <a:picLocks noChangeArrowheads="1" noChangeAspect="1"/>
                    </pic:cNvPicPr>
                  </pic:nvPicPr>
                  <pic:blipFill>
                    <a:blip r:embed="rId26"/>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30"/>
    <w:bookmarkStart w:id="31" w:name="discussion-prompts-to-deploy-here"/>
    <w:p>
      <w:pPr>
        <w:pStyle w:val="Heading3"/>
      </w:pPr>
      <w:r>
        <w:t xml:space="preserve">Discussion prompts to deploy here</w:t>
      </w:r>
    </w:p>
    <w:p>
      <w:pPr>
        <w:pStyle w:val="Compact"/>
        <w:numPr>
          <w:ilvl w:val="0"/>
          <w:numId w:val="1008"/>
        </w:numPr>
      </w:pPr>
      <w:r>
        <w:t xml:space="preserve">“You walk forward. Name the action–reaction pair and the two objects.”</w:t>
      </w:r>
    </w:p>
    <w:p>
      <w:pPr>
        <w:pStyle w:val="Compact"/>
        <w:numPr>
          <w:ilvl w:val="1"/>
          <w:numId w:val="1009"/>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008"/>
        </w:numPr>
      </w:pPr>
      <w:r>
        <w:t xml:space="preserve">“A gun recoils when fired. Why?”</w:t>
      </w:r>
    </w:p>
    <w:p>
      <w:pPr>
        <w:pStyle w:val="Compact"/>
        <w:numPr>
          <w:ilvl w:val="1"/>
          <w:numId w:val="1010"/>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33"/>
    <w:bookmarkStart w:id="34"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011"/>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011"/>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012"/>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012"/>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4"/>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014"/>
        </w:numPr>
      </w:pPr>
      <w:r>
        <w:rPr>
          <w:b/>
          <w:bCs/>
        </w:rPr>
        <w:t xml:space="preserve">force pair</w:t>
      </w:r>
      <w:r>
        <w:t xml:space="preserve"> </w:t>
      </w:r>
      <w:r>
        <w:t xml:space="preserve">— another name for an action–reaction pair; the two forces are always reported together</w:t>
      </w:r>
    </w:p>
    <w:p>
      <w:pPr>
        <w:pStyle w:val="Compact"/>
        <w:numPr>
          <w:ilvl w:val="0"/>
          <w:numId w:val="1014"/>
        </w:numPr>
      </w:pPr>
      <w:r>
        <w:rPr>
          <w:b/>
          <w:bCs/>
        </w:rPr>
        <w:t xml:space="preserve">interaction</w:t>
      </w:r>
      <w:r>
        <w:t xml:space="preserve"> </w:t>
      </w:r>
      <w:r>
        <w:t xml:space="preserve">— the mutual push or pull between two objects; a force is one half of an interaction, never something a single object has alone</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hyperlink" Id="rId11"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11"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2026-06-01T15:55:12Z</dcterms:created>
  <dcterms:modified xsi:type="dcterms:W3CDTF">2026-06-01T15:55:12Z</dcterms:modified>
</cp:coreProperties>
</file>

<file path=docProps/custom.xml><?xml version="1.0" encoding="utf-8"?>
<Properties xmlns="http://schemas.openxmlformats.org/officeDocument/2006/custom-properties" xmlns:vt="http://schemas.openxmlformats.org/officeDocument/2006/docPropsVTypes"/>
</file>