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905062619bcf06c3321f72bc595269aa674922"/>
    <w:p>
      <w:pPr>
        <w:pStyle w:val="Heading1"/>
      </w:pPr>
      <w:r>
        <w:t xml:space="preserve">Conductors, Insulators, and Charging by Conduction — Teacher Guide</w:t>
      </w:r>
    </w:p>
    <w:bookmarkStart w:id="9" w:name="cover"/>
    <w:p>
      <w:pPr>
        <w:pStyle w:val="Heading2"/>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0"/>
    <w:bookmarkStart w:id="13" w:name="phenomenon"/>
    <w:p>
      <w:pPr>
        <w:pStyle w:val="Heading3"/>
      </w:pPr>
      <w:r>
        <w:t xml:space="preserve">Phenomenon</w:t>
      </w:r>
    </w:p>
    <w:p>
      <w:pPr>
        <w:pStyle w:val="Compact"/>
        <w:numPr>
          <w:ilvl w:val="0"/>
          <w:numId w:val="1001"/>
        </w:numPr>
      </w:pPr>
      <w:r>
        <w:t xml:space="preserve">Van de Graaff generator makes hair stand on end (Physics demo):</w:t>
      </w:r>
      <w:r>
        <w:t xml:space="preserve"> </w:t>
      </w:r>
      <w:hyperlink r:id="rId11">
        <w:r>
          <w:rPr>
            <w:rStyle w:val="Hyperlink"/>
          </w:rPr>
          <w:t xml:space="preserve">https://www.youtube.com/watch?v=2gYUmTGYbeI</w:t>
        </w:r>
      </w:hyperlink>
    </w:p>
    <w:p>
      <w:pPr>
        <w:pStyle w:val="Compact"/>
        <w:numPr>
          <w:ilvl w:val="0"/>
          <w:numId w:val="1001"/>
        </w:numPr>
      </w:pPr>
      <w:r>
        <w:t xml:space="preserve">Touching a charged rod to a metal-leaf electroscope makes the leaves spread (PhET / classroom demo):</w:t>
      </w:r>
      <w:r>
        <w:t xml:space="preserve"> </w:t>
      </w:r>
      <w:hyperlink r:id="rId12">
        <w:r>
          <w:rPr>
            <w:rStyle w:val="Hyperlink"/>
          </w:rPr>
          <w:t xml:space="preserve">https://www.youtube.com/watch?v=Yb56oCEMBuc</w:t>
        </w:r>
      </w:hyperlink>
    </w:p>
    <w:bookmarkEnd w:id="13"/>
    <w:bookmarkStart w:id="16" w:name="javalab-labs"/>
    <w:p>
      <w:pPr>
        <w:pStyle w:val="Heading3"/>
      </w:pPr>
      <w:r>
        <w:t xml:space="preserve">Javalab / Labs</w:t>
      </w:r>
    </w:p>
    <w:p>
      <w:pPr>
        <w:pStyle w:val="Compact"/>
        <w:numPr>
          <w:ilvl w:val="0"/>
          <w:numId w:val="1002"/>
        </w:numPr>
      </w:pPr>
      <w:r>
        <w:t xml:space="preserve">Electroscope (charge by touching):</w:t>
      </w:r>
      <w:r>
        <w:t xml:space="preserve"> </w:t>
      </w:r>
      <w:hyperlink r:id="rId14">
        <w:r>
          <w:rPr>
            <w:rStyle w:val="Hyperlink"/>
          </w:rPr>
          <w:t xml:space="preserve">https://javalab.org/en/electroscope_en/</w:t>
        </w:r>
      </w:hyperlink>
    </w:p>
    <w:p>
      <w:pPr>
        <w:pStyle w:val="Compact"/>
        <w:numPr>
          <w:ilvl w:val="0"/>
          <w:numId w:val="1002"/>
        </w:numPr>
      </w:pPr>
      <w:r>
        <w:t xml:space="preserve">Conductor and insulator (where does charge go?):</w:t>
      </w:r>
      <w:r>
        <w:t xml:space="preserve"> </w:t>
      </w:r>
      <w:hyperlink r:id="rId15">
        <w:r>
          <w:rPr>
            <w:rStyle w:val="Hyperlink"/>
          </w:rPr>
          <w:t xml:space="preserve">https://javalab.org/en/conductor_and_insulator_en/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sweater (insulator) vs. the conducting wall:</w:t>
      </w:r>
      <w:r>
        <w:t xml:space="preserve"> </w:t>
      </w:r>
      <w:hyperlink r:id="rId17">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004"/>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004"/>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004"/>
        </w:numPr>
      </w:pPr>
      <w:r>
        <w:t xml:space="preserve">Predict the sign of an object after it is charged by conduction.</w:t>
      </w:r>
    </w:p>
    <w:p>
      <w:r>
        <w:pict>
          <v:rect style="width:0;height:1.5pt" o:hralign="center" o:hrstd="t" o:hr="t"/>
        </w:pict>
      </w:r>
    </w:p>
    <w:bookmarkEnd w:id="20"/>
    <w:bookmarkStart w:id="25" w:name="phase-1-engage-0-12-min"/>
    <w:p>
      <w:pPr>
        <w:pStyle w:val="Heading2"/>
      </w:pPr>
      <w:r>
        <w:t xml:space="preserve">Phase 1 · Engage</w:t>
      </w:r>
      <w:r>
        <w:t xml:space="preserve"> </w:t>
      </w:r>
      <w:r>
        <w:rPr>
          <w:i/>
          <w:iCs/>
        </w:rPr>
        <w:t xml:space="preserve">(0 – 12 min)</w:t>
      </w:r>
    </w:p>
    <w:bookmarkStart w:id="21" w:name="min-opening-connection-sel"/>
    <w:p>
      <w:pPr>
        <w:pStyle w:val="Heading3"/>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21"/>
    <w:bookmarkStart w:id="22" w:name="X8dbcc6389440b71d7d5864e6f4cce7c183cdd1f"/>
    <w:p>
      <w:pPr>
        <w:pStyle w:val="Heading3"/>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005"/>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005"/>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005"/>
        </w:numPr>
      </w:pPr>
      <w:r>
        <w:t xml:space="preserve">“The leaves repel because they have the same charge.”</w:t>
      </w:r>
      <w:r>
        <w:t xml:space="preserve"> </w:t>
      </w:r>
      <w:r>
        <w:t xml:space="preserve">— yes! Connect to Lesson 01’s</w:t>
      </w:r>
      <w:r>
        <w:t xml:space="preserve"> </w:t>
      </w:r>
      <w:r>
        <w:t xml:space="preserve">“like charges repel.”</w:t>
      </w:r>
    </w:p>
    <w:bookmarkEnd w:id="22"/>
    <w:bookmarkStart w:id="23"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24"/>
    <w:bookmarkEnd w:id="25"/>
    <w:bookmarkStart w:id="32" w:name="phase-2-explore-12-32-min"/>
    <w:p>
      <w:pPr>
        <w:pStyle w:val="Heading2"/>
      </w:pPr>
      <w:r>
        <w:t xml:space="preserve">Phase 2 · Explore</w:t>
      </w:r>
      <w:r>
        <w:t xml:space="preserve"> </w:t>
      </w:r>
      <w:r>
        <w:rPr>
          <w:i/>
          <w:iCs/>
        </w:rPr>
        <w:t xml:space="preserve">(12 – 32 min)</w:t>
      </w:r>
    </w:p>
    <w:bookmarkStart w:id="26" w:name="min-initial-model-silent-individual"/>
    <w:p>
      <w:pPr>
        <w:pStyle w:val="Heading3"/>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6"/>
    <w:bookmarkStart w:id="30" w:name="X72e4456752ab03b538247b31de3d464031b57e9"/>
    <w:p>
      <w:pPr>
        <w:pStyle w:val="Heading3"/>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006"/>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006"/>
        </w:numPr>
      </w:pPr>
      <w:r>
        <w:rPr>
          <w:b/>
          <w:bCs/>
        </w:rPr>
        <w:t xml:space="preserve">Test</w:t>
      </w:r>
      <w:r>
        <w:t xml:space="preserve"> </w:t>
      </w:r>
      <w:r>
        <w:t xml:space="preserve">— touch a charged rod, then the sample, to the electroscope knob. Does the charge reach the leaves?</w:t>
      </w:r>
    </w:p>
    <w:p>
      <w:pPr>
        <w:pStyle w:val="Compact"/>
        <w:numPr>
          <w:ilvl w:val="0"/>
          <w:numId w:val="1006"/>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8" name="Picture"/>
            <a:graphic>
              <a:graphicData uri="http://schemas.openxmlformats.org/drawingml/2006/picture">
                <pic:pic>
                  <pic:nvPicPr>
                    <pic:cNvPr descr="figures/conductor_vs_insulator.png" id="29" name="Picture"/>
                    <pic:cNvPicPr>
                      <a:picLocks noChangeArrowheads="1" noChangeAspect="1"/>
                    </pic:cNvPicPr>
                  </pic:nvPicPr>
                  <pic:blipFill>
                    <a:blip r:embed="rId27"/>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007"/>
        </w:numPr>
      </w:pPr>
      <w:r>
        <w:rPr>
          <w:b/>
          <w:bCs/>
        </w:rPr>
        <w:t xml:space="preserve">What to resist</w:t>
      </w:r>
      <w:r>
        <w:t xml:space="preserve"> </w:t>
      </w:r>
      <w:r>
        <w:t xml:space="preserve">— don’t pre-classify the samples; let the gallery-walk disagreements drive the consensus.</w:t>
      </w:r>
    </w:p>
    <w:p>
      <w:pPr>
        <w:pStyle w:val="Compact"/>
        <w:numPr>
          <w:ilvl w:val="0"/>
          <w:numId w:val="1007"/>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31"/>
    <w:bookmarkEnd w:id="32"/>
    <w:bookmarkStart w:id="39" w:name="phase-3-explain-32-37-min"/>
    <w:p>
      <w:pPr>
        <w:pStyle w:val="Heading2"/>
      </w:pPr>
      <w:r>
        <w:t xml:space="preserve">Phase 3 · Explain</w:t>
      </w:r>
      <w:r>
        <w:t xml:space="preserve"> </w:t>
      </w:r>
      <w:r>
        <w:rPr>
          <w:i/>
          <w:iCs/>
        </w:rPr>
        <w:t xml:space="preserve">(32 – 37 min)</w:t>
      </w:r>
    </w:p>
    <w:bookmarkStart w:id="33" w:name="min-turn-and-talk-2-class-consensus"/>
    <w:p>
      <w:pPr>
        <w:pStyle w:val="Heading3"/>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33"/>
    <w:bookmarkStart w:id="3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35" name="Picture"/>
            <a:graphic>
              <a:graphicData uri="http://schemas.openxmlformats.org/drawingml/2006/picture">
                <pic:pic>
                  <pic:nvPicPr>
                    <pic:cNvPr descr="figures/conduction_steps.png" id="36" name="Picture"/>
                    <pic:cNvPicPr>
                      <a:picLocks noChangeArrowheads="1" noChangeAspect="1"/>
                    </pic:cNvPicPr>
                  </pic:nvPicPr>
                  <pic:blipFill>
                    <a:blip r:embed="rId34"/>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37"/>
    <w:bookmarkStart w:id="38" w:name="discussion-prompts-to-deploy-here"/>
    <w:p>
      <w:pPr>
        <w:pStyle w:val="Heading3"/>
      </w:pPr>
      <w:r>
        <w:t xml:space="preserve">Discussion prompts to deploy here</w:t>
      </w:r>
    </w:p>
    <w:p>
      <w:pPr>
        <w:pStyle w:val="Compact"/>
        <w:numPr>
          <w:ilvl w:val="0"/>
          <w:numId w:val="1008"/>
        </w:numPr>
      </w:pPr>
      <w:r>
        <w:t xml:space="preserve">“You charge a metal sphere by touching it with a negative rod. What sign is the sphere now?”</w:t>
      </w:r>
    </w:p>
    <w:p>
      <w:pPr>
        <w:pStyle w:val="Compact"/>
        <w:numPr>
          <w:ilvl w:val="1"/>
          <w:numId w:val="1009"/>
        </w:numPr>
      </w:pPr>
      <w:r>
        <w:rPr>
          <w:i/>
          <w:iCs/>
        </w:rPr>
        <w:t xml:space="preserve">Sample student response:</w:t>
      </w:r>
      <w:r>
        <w:t xml:space="preserve"> </w:t>
      </w:r>
      <w:r>
        <w:t xml:space="preserve">“Negative — conduction shares the rod’s charge, so the sphere gets the same sign.”</w:t>
      </w:r>
    </w:p>
    <w:p>
      <w:pPr>
        <w:pStyle w:val="Compact"/>
        <w:numPr>
          <w:ilvl w:val="0"/>
          <w:numId w:val="1008"/>
        </w:numPr>
      </w:pPr>
      <w:r>
        <w:t xml:space="preserve">“Why won’t a charged rubber rod share its charge if you touch it to a wooden block?”</w:t>
      </w:r>
    </w:p>
    <w:p>
      <w:pPr>
        <w:pStyle w:val="Compact"/>
        <w:numPr>
          <w:ilvl w:val="1"/>
          <w:numId w:val="1010"/>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38"/>
    <w:bookmarkEnd w:id="39"/>
    <w:bookmarkStart w:id="42" w:name="phase-4-elaborate-37-40-min"/>
    <w:p>
      <w:pPr>
        <w:pStyle w:val="Heading2"/>
      </w:pPr>
      <w:r>
        <w:t xml:space="preserve">Phase 4 · Elaborate</w:t>
      </w:r>
      <w:r>
        <w:t xml:space="preserve"> </w:t>
      </w:r>
      <w:r>
        <w:rPr>
          <w:i/>
          <w:iCs/>
        </w:rPr>
        <w:t xml:space="preserve">(37 – 40 min)</w:t>
      </w:r>
    </w:p>
    <w:bookmarkStart w:id="40" w:name="min-revise-the-model"/>
    <w:p>
      <w:pPr>
        <w:pStyle w:val="Heading3"/>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40"/>
    <w:bookmarkStart w:id="41" w:name="min-return-to-the-phenomenon"/>
    <w:p>
      <w:pPr>
        <w:pStyle w:val="Heading3"/>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41"/>
    <w:bookmarkEnd w:id="42"/>
    <w:bookmarkStart w:id="44" w:name="phase-5-evaluate-40-42-min"/>
    <w:p>
      <w:pPr>
        <w:pStyle w:val="Heading2"/>
      </w:pPr>
      <w:r>
        <w:t xml:space="preserve">Phase 5 · Evaluate</w:t>
      </w:r>
      <w:r>
        <w:t xml:space="preserve"> </w:t>
      </w:r>
      <w:r>
        <w:rPr>
          <w:i/>
          <w:iCs/>
        </w:rPr>
        <w:t xml:space="preserve">(40 – 42 min)</w:t>
      </w:r>
    </w:p>
    <w:bookmarkStart w:id="43" w:name="min-exit-ticket-closing-reflection"/>
    <w:p>
      <w:pPr>
        <w:pStyle w:val="Heading3"/>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43"/>
    <w:bookmarkEnd w:id="44"/>
    <w:bookmarkStart w:id="45"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011"/>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011"/>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45"/>
    <w:bookmarkStart w:id="46"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012"/>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012"/>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46"/>
    <w:bookmarkStart w:id="47" w:name="strategy-spotlight"/>
    <w:p>
      <w:pPr>
        <w:pStyle w:val="Heading2"/>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47"/>
    <w:bookmarkStart w:id="4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48"/>
    <w:bookmarkStart w:id="49"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9"/>
    <w:bookmarkStart w:id="50" w:name="key-vocabulary-max-3"/>
    <w:p>
      <w:pPr>
        <w:pStyle w:val="Heading2"/>
      </w:pPr>
      <w:r>
        <w:t xml:space="preserve">Key Vocabulary (max 3)</w:t>
      </w:r>
    </w:p>
    <w:p>
      <w:pPr>
        <w:pStyle w:val="Compact"/>
        <w:numPr>
          <w:ilvl w:val="0"/>
          <w:numId w:val="1014"/>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014"/>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014"/>
        </w:numPr>
      </w:pPr>
      <w:r>
        <w:rPr>
          <w:b/>
          <w:bCs/>
        </w:rPr>
        <w:t xml:space="preserve">charging by conduction</w:t>
      </w:r>
      <w:r>
        <w:t xml:space="preserve"> </w:t>
      </w:r>
      <w:r>
        <w:t xml:space="preserve">— transferring charge by direct contact with a charged object; both objects end up with the same sign</w:t>
      </w:r>
    </w:p>
    <w:bookmarkEnd w:id="50"/>
    <w:bookmarkEnd w:id="5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7" Target="media/rId27.png" /><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2026-06-01T15:55:23Z</dcterms:created>
  <dcterms:modified xsi:type="dcterms:W3CDTF">2026-06-01T15:55:23Z</dcterms:modified>
</cp:coreProperties>
</file>

<file path=docProps/custom.xml><?xml version="1.0" encoding="utf-8"?>
<Properties xmlns="http://schemas.openxmlformats.org/officeDocument/2006/custom-properties" xmlns:vt="http://schemas.openxmlformats.org/officeDocument/2006/docPropsVTypes"/>
</file>