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b23837880b6ca6098c2e88e631edff9bd99858"/>
    <w:p>
      <w:pPr>
        <w:pStyle w:val="Heading1"/>
      </w:pPr>
      <w:r>
        <w:t xml:space="preserve">Charging by Induction and Polarization — Teacher Guide</w:t>
      </w:r>
    </w:p>
    <w:bookmarkStart w:id="9" w:name="cover"/>
    <w:p>
      <w:pPr>
        <w:pStyle w:val="Heading2"/>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10"/>
    <w:bookmarkStart w:id="13" w:name="phenomenon"/>
    <w:p>
      <w:pPr>
        <w:pStyle w:val="Heading3"/>
      </w:pPr>
      <w:r>
        <w:t xml:space="preserve">Phenomenon</w:t>
      </w:r>
    </w:p>
    <w:p>
      <w:pPr>
        <w:pStyle w:val="Compact"/>
        <w:numPr>
          <w:ilvl w:val="0"/>
          <w:numId w:val="1001"/>
        </w:numPr>
      </w:pPr>
      <w:r>
        <w:t xml:space="preserve">A charged rod attracts a thin stream of water / tiny paper bits without touching (Veritasium/standard demo):</w:t>
      </w:r>
      <w:r>
        <w:t xml:space="preserve"> </w:t>
      </w:r>
      <w:hyperlink r:id="rId11">
        <w:r>
          <w:rPr>
            <w:rStyle w:val="Hyperlink"/>
          </w:rPr>
          <w:t xml:space="preserve">https://www.youtube.com/watch?v=N2lWX_zk1Q4</w:t>
        </w:r>
      </w:hyperlink>
    </w:p>
    <w:p>
      <w:pPr>
        <w:pStyle w:val="Compact"/>
        <w:numPr>
          <w:ilvl w:val="0"/>
          <w:numId w:val="1001"/>
        </w:numPr>
      </w:pPr>
      <w:r>
        <w:t xml:space="preserve">Glass rod rubbed with silk picks up small neutral scraps (Khan Academy,</w:t>
      </w:r>
      <w:r>
        <w:t xml:space="preserve"> </w:t>
      </w:r>
      <w:r>
        <w:t xml:space="preserve">“Triboelectric effect and charge”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Electrostatic induction (charge a sphere without contact):</w:t>
      </w:r>
      <w:r>
        <w:t xml:space="preserve"> </w:t>
      </w:r>
      <w:hyperlink r:id="rId14">
        <w:r>
          <w:rPr>
            <w:rStyle w:val="Hyperlink"/>
          </w:rPr>
          <w:t xml:space="preserve">https://javalab.org/en/electrostatic_induction_en/</w:t>
        </w:r>
      </w:hyperlink>
    </w:p>
    <w:p>
      <w:pPr>
        <w:pStyle w:val="Compact"/>
        <w:numPr>
          <w:ilvl w:val="0"/>
          <w:numId w:val="1002"/>
        </w:numPr>
      </w:pPr>
      <w:r>
        <w:t xml:space="preserve">Electroscope (induction vs. conduction):</w:t>
      </w:r>
      <w:r>
        <w:t xml:space="preserve"> </w:t>
      </w:r>
      <w:hyperlink r:id="rId15">
        <w:r>
          <w:rPr>
            <w:rStyle w:val="Hyperlink"/>
          </w:rPr>
          <w:t xml:space="preserve">https://javalab.org/en/electroscope_en/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7">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004"/>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004"/>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004"/>
        </w:numPr>
      </w:pPr>
      <w:r>
        <w:t xml:space="preserve">Contrast induction (opposite sign, no contact) with conduction (same sign, contact).</w:t>
      </w:r>
    </w:p>
    <w:p>
      <w:r>
        <w:pict>
          <v:rect style="width:0;height:1.5pt" o:hralign="center" o:hrstd="t" o:hr="t"/>
        </w:pict>
      </w:r>
    </w:p>
    <w:bookmarkEnd w:id="20"/>
    <w:bookmarkStart w:id="25" w:name="phase-1-engage-0-10-min"/>
    <w:p>
      <w:pPr>
        <w:pStyle w:val="Heading2"/>
      </w:pPr>
      <w:r>
        <w:t xml:space="preserve">Phase 1 · Engage</w:t>
      </w:r>
      <w:r>
        <w:t xml:space="preserve"> </w:t>
      </w:r>
      <w:r>
        <w:rPr>
          <w:i/>
          <w:iCs/>
        </w:rPr>
        <w:t xml:space="preserve">(0 – 10 min)</w:t>
      </w:r>
    </w:p>
    <w:bookmarkStart w:id="21"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21"/>
    <w:bookmarkStart w:id="22" w:name="Xcb472ac7956bbb80dd4fcde0b78e4f41bef8c80"/>
    <w:p>
      <w:pPr>
        <w:pStyle w:val="Heading3"/>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005"/>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005"/>
        </w:numPr>
      </w:pPr>
      <w:r>
        <w:t xml:space="preserve">“The paper must be a little bit charged.”</w:t>
      </w:r>
      <w:r>
        <w:t xml:space="preserve"> </w:t>
      </w:r>
      <w:r>
        <w:t xml:space="preserve">— probe: it was neutral a second ago; what changed?</w:t>
      </w:r>
    </w:p>
    <w:p>
      <w:pPr>
        <w:pStyle w:val="Compact"/>
        <w:numPr>
          <w:ilvl w:val="0"/>
          <w:numId w:val="1005"/>
        </w:numPr>
      </w:pPr>
      <w:r>
        <w:t xml:space="preserve">“The charges inside the paper moved.”</w:t>
      </w:r>
      <w:r>
        <w:t xml:space="preserve"> </w:t>
      </w:r>
      <w:r>
        <w:t xml:space="preserve">— excellent; this is polarization — hold for Phase 3.</w:t>
      </w:r>
    </w:p>
    <w:bookmarkEnd w:id="22"/>
    <w:bookmarkStart w:id="23" w:name="min-notice-wonder-turn-and-talk-1"/>
    <w:p>
      <w:pPr>
        <w:pStyle w:val="Heading3"/>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24"/>
    <w:bookmarkEnd w:id="25"/>
    <w:bookmarkStart w:id="31" w:name="phase-2-explore-10-30-min"/>
    <w:p>
      <w:pPr>
        <w:pStyle w:val="Heading2"/>
      </w:pPr>
      <w:r>
        <w:t xml:space="preserve">Phase 2 · Explore</w:t>
      </w:r>
      <w:r>
        <w:t xml:space="preserve"> </w:t>
      </w:r>
      <w:r>
        <w:rPr>
          <w:i/>
          <w:iCs/>
        </w:rPr>
        <w:t xml:space="preserve">(10 – 30 min)</w:t>
      </w:r>
    </w:p>
    <w:bookmarkStart w:id="29" w:name="X37f38c4ce819e55ab31e28a5115d549693662ff"/>
    <w:p>
      <w:pPr>
        <w:pStyle w:val="Heading3"/>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27" name="Picture"/>
            <a:graphic>
              <a:graphicData uri="http://schemas.openxmlformats.org/drawingml/2006/picture">
                <pic:pic>
                  <pic:nvPicPr>
                    <pic:cNvPr descr="figures/induction_steps.png" id="28" name="Picture"/>
                    <pic:cNvPicPr>
                      <a:picLocks noChangeArrowheads="1" noChangeAspect="1"/>
                    </pic:cNvPicPr>
                  </pic:nvPicPr>
                  <pic:blipFill>
                    <a:blip r:embed="rId26"/>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29"/>
    <w:bookmarkStart w:id="30" w:name="teacher-facilitation-during-explore"/>
    <w:p>
      <w:pPr>
        <w:pStyle w:val="Heading3"/>
      </w:pPr>
      <w:r>
        <w:t xml:space="preserve">Teacher facilitation during Explore</w:t>
      </w:r>
    </w:p>
    <w:p>
      <w:pPr>
        <w:pStyle w:val="Compact"/>
        <w:numPr>
          <w:ilvl w:val="0"/>
          <w:numId w:val="1006"/>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006"/>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006"/>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30"/>
    <w:bookmarkEnd w:id="31"/>
    <w:bookmarkStart w:id="38" w:name="phase-3-explain-30-36-min"/>
    <w:p>
      <w:pPr>
        <w:pStyle w:val="Heading2"/>
      </w:pPr>
      <w:r>
        <w:t xml:space="preserve">Phase 3 · Explain</w:t>
      </w:r>
      <w:r>
        <w:t xml:space="preserve"> </w:t>
      </w:r>
      <w:r>
        <w:rPr>
          <w:i/>
          <w:iCs/>
        </w:rPr>
        <w:t xml:space="preserve">(30 – 36 min)</w:t>
      </w:r>
    </w:p>
    <w:bookmarkStart w:id="32" w:name="min-btc-consolidation-class-consensus"/>
    <w:p>
      <w:pPr>
        <w:pStyle w:val="Heading3"/>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32"/>
    <w:bookmarkStart w:id="36" w:name="min-vocabulary-introduction-3-terms"/>
    <w:p>
      <w:pPr>
        <w:pStyle w:val="Heading3"/>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34" name="Picture"/>
            <a:graphic>
              <a:graphicData uri="http://schemas.openxmlformats.org/drawingml/2006/picture">
                <pic:pic>
                  <pic:nvPicPr>
                    <pic:cNvPr descr="figures/polarization.png" id="35" name="Picture"/>
                    <pic:cNvPicPr>
                      <a:picLocks noChangeArrowheads="1" noChangeAspect="1"/>
                    </pic:cNvPicPr>
                  </pic:nvPicPr>
                  <pic:blipFill>
                    <a:blip r:embed="rId33"/>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36"/>
    <w:bookmarkStart w:id="37" w:name="discussion-prompts-to-deploy-here"/>
    <w:p>
      <w:pPr>
        <w:pStyle w:val="Heading3"/>
      </w:pPr>
      <w:r>
        <w:t xml:space="preserve">Discussion prompts to deploy here</w:t>
      </w:r>
    </w:p>
    <w:p>
      <w:pPr>
        <w:pStyle w:val="Compact"/>
        <w:numPr>
          <w:ilvl w:val="0"/>
          <w:numId w:val="1007"/>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008"/>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007"/>
        </w:numPr>
      </w:pPr>
      <w:r>
        <w:t xml:space="preserve">“A negative rod charges a sphere by induction. What sign is the sphere — and how is that different from conduction?”</w:t>
      </w:r>
    </w:p>
    <w:p>
      <w:pPr>
        <w:pStyle w:val="Compact"/>
        <w:numPr>
          <w:ilvl w:val="1"/>
          <w:numId w:val="1009"/>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
    <w:p>
      <w:pPr>
        <w:pStyle w:val="Heading3"/>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39"/>
    <w:bookmarkStart w:id="40" w:name="min-return-to-the-phenomenon"/>
    <w:p>
      <w:pPr>
        <w:pStyle w:val="Heading3"/>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0"/>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010"/>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010"/>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1"/>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011"/>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011"/>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3"/>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013"/>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013"/>
        </w:numPr>
      </w:pPr>
      <w:r>
        <w:rPr>
          <w:b/>
          <w:bCs/>
        </w:rPr>
        <w:t xml:space="preserve">grounding</w:t>
      </w:r>
      <w:r>
        <w:t xml:space="preserve"> </w:t>
      </w:r>
      <w:r>
        <w:t xml:space="preserve">— connecting an object to the Earth (or a large conductor) so charge can flow off to or from it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2026-06-01T15:55:23Z</dcterms:created>
  <dcterms:modified xsi:type="dcterms:W3CDTF">2026-06-01T15:55:23Z</dcterms:modified>
</cp:coreProperties>
</file>

<file path=docProps/custom.xml><?xml version="1.0" encoding="utf-8"?>
<Properties xmlns="http://schemas.openxmlformats.org/officeDocument/2006/custom-properties" xmlns:vt="http://schemas.openxmlformats.org/officeDocument/2006/docPropsVTypes"/>
</file>